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93" w:rsidRPr="00DF1530" w:rsidRDefault="005E53F2" w:rsidP="008C7A93">
      <w:pPr>
        <w:pStyle w:val="PartHeading"/>
        <w:rPr>
          <w:lang w:val="ru-RU"/>
        </w:rPr>
      </w:pPr>
      <w:bookmarkStart w:id="0" w:name="_Toc369561401"/>
      <w:bookmarkStart w:id="1" w:name="_Toc369603434"/>
      <w:bookmarkStart w:id="2" w:name="_Toc369603705"/>
      <w:bookmarkStart w:id="3" w:name="_Toc369604120"/>
      <w:bookmarkStart w:id="4" w:name="_Toc369607790"/>
      <w:bookmarkStart w:id="5" w:name="_Toc369607985"/>
      <w:bookmarkStart w:id="6" w:name="_Toc369609365"/>
      <w:bookmarkStart w:id="7" w:name="_Toc369609958"/>
      <w:bookmarkStart w:id="8" w:name="_Toc369614571"/>
      <w:bookmarkStart w:id="9" w:name="_Toc369614745"/>
      <w:bookmarkStart w:id="10" w:name="_Toc369614925"/>
      <w:bookmarkStart w:id="11" w:name="_Toc369616477"/>
      <w:bookmarkStart w:id="12" w:name="_Toc369682528"/>
      <w:bookmarkStart w:id="13" w:name="_Toc369709741"/>
      <w:bookmarkStart w:id="14" w:name="_Toc411535415"/>
      <w:r w:rsidRPr="00DF1530">
        <w:rPr>
          <w:lang w:val="ru-RU"/>
        </w:rPr>
        <w:t>ИССЛЕДОВАНИ</w:t>
      </w:r>
      <w:r w:rsidR="00E535EB">
        <w:rPr>
          <w:lang w:val="ru-RU"/>
        </w:rPr>
        <w:t>Е</w:t>
      </w:r>
      <w:r w:rsidR="00271853" w:rsidRPr="00DF1530">
        <w:rPr>
          <w:lang w:val="ru-RU"/>
        </w:rPr>
        <w:t xml:space="preserve"> </w:t>
      </w:r>
      <w:r w:rsidRPr="00DF1530">
        <w:rPr>
          <w:lang w:val="ru-RU"/>
        </w:rPr>
        <w:t>ОЭСР</w:t>
      </w:r>
      <w:r w:rsidR="008C7A93" w:rsidRPr="00DF1530">
        <w:rPr>
          <w:lang w:val="ru-RU"/>
        </w:rPr>
        <w:t xml:space="preserve"> </w:t>
      </w:r>
      <w:r w:rsidRPr="00DF1530">
        <w:rPr>
          <w:lang w:val="ru-RU"/>
        </w:rPr>
        <w:t xml:space="preserve">ПО </w:t>
      </w:r>
      <w:r w:rsidR="00E535EB">
        <w:rPr>
          <w:lang w:val="ru-RU"/>
        </w:rPr>
        <w:t xml:space="preserve">ВопроСАМ </w:t>
      </w:r>
      <w:r w:rsidRPr="00DF1530">
        <w:rPr>
          <w:lang w:val="ru-RU"/>
        </w:rPr>
        <w:t>МСП И предпринимательскОЙ деятельностИ</w:t>
      </w:r>
      <w:r w:rsidR="00E535EB">
        <w:rPr>
          <w:lang w:val="ru-RU"/>
        </w:rPr>
        <w:t xml:space="preserve"> В РОССИЙСКОЙ ФЕДЕРАЦИИ</w:t>
      </w:r>
    </w:p>
    <w:p w:rsidR="008C7A93" w:rsidRPr="00953748" w:rsidRDefault="00E535EB" w:rsidP="008C7A93">
      <w:pPr>
        <w:pStyle w:val="PartHeading"/>
        <w:rPr>
          <w:lang w:val="ru-RU"/>
        </w:rPr>
      </w:pPr>
      <w:r>
        <w:rPr>
          <w:lang w:val="ru-RU"/>
        </w:rPr>
        <w:t xml:space="preserve">ОСНОВНЫЕ </w:t>
      </w:r>
      <w:bookmarkStart w:id="15" w:name="_GoBack"/>
      <w:bookmarkEnd w:id="15"/>
      <w:r w:rsidR="00953748">
        <w:rPr>
          <w:lang w:val="ru-RU"/>
        </w:rPr>
        <w:t>ВЫВОДЫ</w:t>
      </w:r>
    </w:p>
    <w:p w:rsidR="008C7A93" w:rsidRPr="00DF1530" w:rsidRDefault="008C7A93" w:rsidP="008C7A93">
      <w:pPr>
        <w:pStyle w:val="PartHeading"/>
        <w:rPr>
          <w:lang w:val="ru-RU"/>
        </w:rPr>
      </w:pPr>
    </w:p>
    <w:p w:rsidR="008C7A93" w:rsidRPr="00DF1530" w:rsidRDefault="008C7A93" w:rsidP="008C7A93">
      <w:pPr>
        <w:pStyle w:val="PartHeading"/>
        <w:rPr>
          <w:kern w:val="28"/>
          <w:lang w:val="ru-RU"/>
        </w:rPr>
      </w:pPr>
    </w:p>
    <w:p w:rsidR="008C7A93" w:rsidRPr="00DF1530" w:rsidRDefault="005E53F2" w:rsidP="008C7A93">
      <w:pPr>
        <w:pStyle w:val="1"/>
        <w:pageBreakBefore/>
        <w:rPr>
          <w:lang w:val="ru-RU"/>
        </w:rPr>
      </w:pPr>
      <w:r w:rsidRPr="00DF1530">
        <w:rPr>
          <w:lang w:val="ru-RU"/>
        </w:rPr>
        <w:lastRenderedPageBreak/>
        <w:t>Глава</w:t>
      </w:r>
      <w:r w:rsidR="008C7A93" w:rsidRPr="00DF1530">
        <w:rPr>
          <w:lang w:val="ru-RU"/>
        </w:rPr>
        <w:t xml:space="preserve"> 1.</w:t>
      </w:r>
      <w:r w:rsidR="008C7A93" w:rsidRPr="00DF1530">
        <w:rPr>
          <w:lang w:val="ru-RU"/>
        </w:rPr>
        <w:br/>
      </w:r>
      <w:r w:rsidR="008C7A93" w:rsidRPr="00DF1530">
        <w:rPr>
          <w:lang w:val="ru-RU"/>
        </w:rPr>
        <w:br/>
      </w:r>
      <w:r w:rsidR="008C7A93" w:rsidRPr="00DF1530">
        <w:rPr>
          <w:lang w:val="ru-RU"/>
        </w:rPr>
        <w:br/>
      </w:r>
      <w:r w:rsidR="009030BD" w:rsidRPr="00DF1530">
        <w:rPr>
          <w:lang w:val="ru-RU"/>
        </w:rPr>
        <w:fldChar w:fldCharType="begin"/>
      </w:r>
      <w:r w:rsidR="008C7A93" w:rsidRPr="00DF1530">
        <w:rPr>
          <w:lang w:val="ru-RU"/>
        </w:rPr>
        <w:instrText xml:space="preserve"> MACROBUTTON NUMBERING </w:instrText>
      </w:r>
      <w:r w:rsidR="009030BD" w:rsidRPr="00DF1530">
        <w:rPr>
          <w:lang w:val="ru-RU"/>
        </w:rPr>
        <w:fldChar w:fldCharType="end"/>
      </w:r>
      <w:r w:rsidRPr="00DF1530">
        <w:rPr>
          <w:lang w:val="ru-RU"/>
        </w:rPr>
        <w:t>Оценка</w:t>
      </w:r>
      <w:r w:rsidR="008C7A93" w:rsidRPr="00DF1530">
        <w:rPr>
          <w:lang w:val="ru-RU"/>
        </w:rPr>
        <w:t xml:space="preserve"> </w:t>
      </w:r>
      <w:r w:rsidRPr="00DF1530">
        <w:rPr>
          <w:lang w:val="ru-RU"/>
        </w:rPr>
        <w:t>И Рекомендации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8C7A93" w:rsidRPr="00DF1530" w:rsidRDefault="008C7A93" w:rsidP="008C7A93">
      <w:pPr>
        <w:pStyle w:val="21"/>
        <w:rPr>
          <w:lang w:val="ru-RU"/>
        </w:rPr>
      </w:pPr>
      <w:bookmarkStart w:id="16" w:name="_Toc369561403"/>
      <w:bookmarkStart w:id="17" w:name="_Toc369603436"/>
      <w:bookmarkStart w:id="18" w:name="_Toc369603707"/>
      <w:bookmarkStart w:id="19" w:name="_Toc369604122"/>
      <w:bookmarkStart w:id="20" w:name="_Toc369607792"/>
      <w:bookmarkStart w:id="21" w:name="_Toc369607987"/>
      <w:bookmarkStart w:id="22" w:name="_Toc369609367"/>
      <w:bookmarkStart w:id="23" w:name="_Toc369609960"/>
      <w:bookmarkStart w:id="24" w:name="_Toc369614573"/>
      <w:bookmarkStart w:id="25" w:name="_Toc369614747"/>
      <w:bookmarkStart w:id="26" w:name="_Toc369614927"/>
      <w:bookmarkStart w:id="27" w:name="_Toc369616479"/>
      <w:bookmarkStart w:id="28" w:name="_Toc369682530"/>
      <w:bookmarkStart w:id="29" w:name="_Toc369709743"/>
      <w:bookmarkStart w:id="30" w:name="_Toc411535416"/>
      <w:r w:rsidRPr="00DF1530">
        <w:rPr>
          <w:lang w:val="ru-RU"/>
        </w:rPr>
        <w:t xml:space="preserve">1.1. </w:t>
      </w:r>
      <w:r w:rsidRPr="00DF1530">
        <w:rPr>
          <w:lang w:val="ru-RU"/>
        </w:rPr>
        <w:tab/>
      </w:r>
      <w:r w:rsidR="00E535EB">
        <w:rPr>
          <w:lang w:val="ru-RU"/>
        </w:rPr>
        <w:t xml:space="preserve">Состояние сектора </w:t>
      </w:r>
      <w:r w:rsidR="00834072" w:rsidRPr="00DF1530">
        <w:rPr>
          <w:lang w:val="ru-RU"/>
        </w:rPr>
        <w:t>МСП</w:t>
      </w:r>
      <w:r w:rsidRPr="00DF1530">
        <w:rPr>
          <w:lang w:val="ru-RU"/>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E535EB">
        <w:rPr>
          <w:lang w:val="ru-RU"/>
        </w:rPr>
        <w:t>в Российской Федерации</w:t>
      </w:r>
    </w:p>
    <w:p w:rsidR="008C7A93" w:rsidRPr="00DF1530" w:rsidRDefault="00834072" w:rsidP="008C7A93">
      <w:pPr>
        <w:pStyle w:val="31"/>
        <w:rPr>
          <w:lang w:val="ru-RU"/>
        </w:rPr>
      </w:pPr>
      <w:r w:rsidRPr="00DF1530">
        <w:rPr>
          <w:lang w:val="ru-RU"/>
        </w:rPr>
        <w:t>Недостаточный масштаб деятельности МСП</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34072" w:rsidRPr="00DF1530">
        <w:rPr>
          <w:lang w:val="ru-RU"/>
        </w:rPr>
        <w:t xml:space="preserve">Одной из наиболее важных особенностей сектора малых и средних предприятий </w:t>
      </w:r>
      <w:r w:rsidR="008C7A93" w:rsidRPr="00DF1530">
        <w:rPr>
          <w:lang w:val="ru-RU"/>
        </w:rPr>
        <w:t>(</w:t>
      </w:r>
      <w:r w:rsidR="00834072" w:rsidRPr="00DF1530">
        <w:rPr>
          <w:lang w:val="ru-RU"/>
        </w:rPr>
        <w:t>МСП</w:t>
      </w:r>
      <w:r w:rsidR="008C7A93" w:rsidRPr="00DF1530">
        <w:rPr>
          <w:lang w:val="ru-RU"/>
        </w:rPr>
        <w:t xml:space="preserve">) </w:t>
      </w:r>
      <w:r w:rsidR="00834072" w:rsidRPr="00DF1530">
        <w:rPr>
          <w:lang w:val="ru-RU"/>
        </w:rPr>
        <w:t>в Российской Федерации является его сравнительно</w:t>
      </w:r>
      <w:r w:rsidR="008C7A93" w:rsidRPr="00DF1530">
        <w:rPr>
          <w:lang w:val="ru-RU"/>
        </w:rPr>
        <w:t xml:space="preserve"> </w:t>
      </w:r>
      <w:r w:rsidR="00834072" w:rsidRPr="00DF1530">
        <w:rPr>
          <w:lang w:val="ru-RU"/>
        </w:rPr>
        <w:t xml:space="preserve">небольшой вклад в экономику по сравнению с другими странами </w:t>
      </w:r>
      <w:r w:rsidR="005E53F2" w:rsidRPr="00DF1530">
        <w:rPr>
          <w:lang w:val="ru-RU"/>
        </w:rPr>
        <w:t>ОЭСР</w:t>
      </w:r>
      <w:r w:rsidR="008C7A93" w:rsidRPr="00DF1530">
        <w:rPr>
          <w:lang w:val="ru-RU"/>
        </w:rPr>
        <w:t xml:space="preserve"> </w:t>
      </w:r>
      <w:r w:rsidR="00834072" w:rsidRPr="00DF1530">
        <w:rPr>
          <w:lang w:val="ru-RU"/>
        </w:rPr>
        <w:t>и странами с развивающейся экономикой</w:t>
      </w:r>
      <w:r w:rsidR="008C7A93" w:rsidRPr="00DF1530">
        <w:rPr>
          <w:lang w:val="ru-RU"/>
        </w:rPr>
        <w:t xml:space="preserve">. </w:t>
      </w:r>
      <w:r w:rsidR="00834072" w:rsidRPr="00DF1530">
        <w:rPr>
          <w:lang w:val="ru-RU"/>
        </w:rPr>
        <w:t>В реальном исчислении</w:t>
      </w:r>
      <w:r w:rsidR="008C7A93" w:rsidRPr="00DF1530">
        <w:rPr>
          <w:lang w:val="ru-RU"/>
        </w:rPr>
        <w:t xml:space="preserve"> (</w:t>
      </w:r>
      <w:r w:rsidR="00834072" w:rsidRPr="00DF1530">
        <w:rPr>
          <w:lang w:val="ru-RU"/>
        </w:rPr>
        <w:t>т.е.</w:t>
      </w:r>
      <w:r w:rsidR="008C7A93" w:rsidRPr="00DF1530">
        <w:rPr>
          <w:lang w:val="ru-RU"/>
        </w:rPr>
        <w:t xml:space="preserve"> </w:t>
      </w:r>
      <w:r w:rsidR="00834072" w:rsidRPr="00DF1530">
        <w:rPr>
          <w:lang w:val="ru-RU"/>
        </w:rPr>
        <w:t>за исключением значительного количества зарегистрированных</w:t>
      </w:r>
      <w:r w:rsidR="008C7A93" w:rsidRPr="00DF1530">
        <w:rPr>
          <w:lang w:val="ru-RU"/>
        </w:rPr>
        <w:t xml:space="preserve"> </w:t>
      </w:r>
      <w:r w:rsidR="00834072" w:rsidRPr="00DF1530">
        <w:rPr>
          <w:lang w:val="ru-RU"/>
        </w:rPr>
        <w:t>недействующих предприятий</w:t>
      </w:r>
      <w:r w:rsidR="008C7A93" w:rsidRPr="00DF1530">
        <w:rPr>
          <w:lang w:val="ru-RU"/>
        </w:rPr>
        <w:t xml:space="preserve">) </w:t>
      </w:r>
      <w:r w:rsidR="00834072" w:rsidRPr="00DF1530">
        <w:rPr>
          <w:lang w:val="ru-RU"/>
        </w:rPr>
        <w:t xml:space="preserve">в 2011 году в Российской Федерации было всего </w:t>
      </w:r>
      <w:r w:rsidR="008C7A93" w:rsidRPr="00DF1530">
        <w:rPr>
          <w:lang w:val="ru-RU"/>
        </w:rPr>
        <w:t>1</w:t>
      </w:r>
      <w:r w:rsidR="00834072" w:rsidRPr="00DF1530">
        <w:rPr>
          <w:lang w:val="ru-RU"/>
        </w:rPr>
        <w:t>,</w:t>
      </w:r>
      <w:r w:rsidR="008C7A93" w:rsidRPr="00DF1530">
        <w:rPr>
          <w:lang w:val="ru-RU"/>
        </w:rPr>
        <w:t xml:space="preserve">3 </w:t>
      </w:r>
      <w:r w:rsidR="00834072" w:rsidRPr="00DF1530">
        <w:rPr>
          <w:lang w:val="ru-RU"/>
        </w:rPr>
        <w:t>миллиона</w:t>
      </w:r>
      <w:r w:rsidR="008C7A93" w:rsidRPr="00DF1530">
        <w:rPr>
          <w:lang w:val="ru-RU"/>
        </w:rPr>
        <w:t xml:space="preserve"> </w:t>
      </w:r>
      <w:r w:rsidR="00834072" w:rsidRPr="00DF1530">
        <w:rPr>
          <w:lang w:val="ru-RU"/>
        </w:rPr>
        <w:t>действующих предприятий</w:t>
      </w:r>
      <w:r w:rsidR="008C7A93" w:rsidRPr="00DF1530">
        <w:rPr>
          <w:lang w:val="ru-RU"/>
        </w:rPr>
        <w:t xml:space="preserve">. </w:t>
      </w:r>
      <w:r w:rsidR="00834072" w:rsidRPr="00DF1530">
        <w:rPr>
          <w:lang w:val="ru-RU"/>
        </w:rPr>
        <w:t>По международным стандартам</w:t>
      </w:r>
      <w:r w:rsidR="008C7A93" w:rsidRPr="00DF1530">
        <w:rPr>
          <w:lang w:val="ru-RU"/>
        </w:rPr>
        <w:t xml:space="preserve"> </w:t>
      </w:r>
      <w:r w:rsidR="00834072" w:rsidRPr="00DF1530">
        <w:rPr>
          <w:lang w:val="ru-RU"/>
        </w:rPr>
        <w:t>это совсем немного, у</w:t>
      </w:r>
      <w:r w:rsidR="00592D7B" w:rsidRPr="00DF1530">
        <w:rPr>
          <w:lang w:val="ru-RU"/>
        </w:rPr>
        <w:t>ч</w:t>
      </w:r>
      <w:r w:rsidR="00834072" w:rsidRPr="00DF1530">
        <w:rPr>
          <w:lang w:val="ru-RU"/>
        </w:rPr>
        <w:t xml:space="preserve">итывая </w:t>
      </w:r>
      <w:r w:rsidR="00592D7B" w:rsidRPr="00DF1530">
        <w:rPr>
          <w:lang w:val="ru-RU"/>
        </w:rPr>
        <w:t xml:space="preserve">объем </w:t>
      </w:r>
      <w:r w:rsidR="00834072" w:rsidRPr="00DF1530">
        <w:rPr>
          <w:lang w:val="ru-RU"/>
        </w:rPr>
        <w:t>экономики</w:t>
      </w:r>
      <w:r w:rsidR="008C7A93" w:rsidRPr="00DF1530">
        <w:rPr>
          <w:lang w:val="ru-RU"/>
        </w:rPr>
        <w:t xml:space="preserve"> (</w:t>
      </w:r>
      <w:r w:rsidR="00592D7B" w:rsidRPr="00DF1530">
        <w:rPr>
          <w:lang w:val="ru-RU"/>
        </w:rPr>
        <w:t>Рисунок</w:t>
      </w:r>
      <w:r w:rsidR="008C7A93" w:rsidRPr="00DF1530">
        <w:rPr>
          <w:lang w:val="ru-RU"/>
        </w:rPr>
        <w:t xml:space="preserve"> 1.1). </w:t>
      </w:r>
      <w:r w:rsidR="00592D7B" w:rsidRPr="00DF1530">
        <w:rPr>
          <w:lang w:val="ru-RU"/>
        </w:rPr>
        <w:t>В Италии</w:t>
      </w:r>
      <w:r w:rsidR="008C7A93" w:rsidRPr="00DF1530">
        <w:rPr>
          <w:lang w:val="ru-RU"/>
        </w:rPr>
        <w:t xml:space="preserve">, </w:t>
      </w:r>
      <w:r w:rsidR="00592D7B" w:rsidRPr="00DF1530">
        <w:rPr>
          <w:lang w:val="ru-RU"/>
        </w:rPr>
        <w:t>Мексике</w:t>
      </w:r>
      <w:r w:rsidR="008C7A93" w:rsidRPr="00DF1530">
        <w:rPr>
          <w:lang w:val="ru-RU"/>
        </w:rPr>
        <w:t xml:space="preserve"> </w:t>
      </w:r>
      <w:r w:rsidR="00592D7B" w:rsidRPr="00DF1530">
        <w:rPr>
          <w:lang w:val="ru-RU"/>
        </w:rPr>
        <w:t>или Корее</w:t>
      </w:r>
      <w:r w:rsidR="008C7A93" w:rsidRPr="00DF1530">
        <w:rPr>
          <w:lang w:val="ru-RU"/>
        </w:rPr>
        <w:t xml:space="preserve">, </w:t>
      </w:r>
      <w:r w:rsidR="00592D7B" w:rsidRPr="00DF1530">
        <w:rPr>
          <w:lang w:val="ru-RU"/>
        </w:rPr>
        <w:t>к примеру</w:t>
      </w:r>
      <w:r w:rsidR="008C7A93" w:rsidRPr="00DF1530">
        <w:rPr>
          <w:lang w:val="ru-RU"/>
        </w:rPr>
        <w:t xml:space="preserve">, </w:t>
      </w:r>
      <w:r w:rsidR="00592D7B" w:rsidRPr="00DF1530">
        <w:rPr>
          <w:lang w:val="ru-RU"/>
        </w:rPr>
        <w:t xml:space="preserve">предприятий втрое больше, чем в </w:t>
      </w:r>
      <w:r w:rsidR="005E53F2" w:rsidRPr="00DF1530">
        <w:rPr>
          <w:lang w:val="ru-RU"/>
        </w:rPr>
        <w:t>Российск</w:t>
      </w:r>
      <w:r w:rsidR="00592D7B" w:rsidRPr="00DF1530">
        <w:rPr>
          <w:lang w:val="ru-RU"/>
        </w:rPr>
        <w:t>ой</w:t>
      </w:r>
      <w:r w:rsidR="005E53F2" w:rsidRPr="00DF1530">
        <w:rPr>
          <w:lang w:val="ru-RU"/>
        </w:rPr>
        <w:t xml:space="preserve"> Федераци</w:t>
      </w:r>
      <w:r w:rsidR="00592D7B" w:rsidRPr="00DF1530">
        <w:rPr>
          <w:lang w:val="ru-RU"/>
        </w:rPr>
        <w:t>и,</w:t>
      </w:r>
      <w:r w:rsidR="008C7A93" w:rsidRPr="00DF1530">
        <w:rPr>
          <w:lang w:val="ru-RU"/>
        </w:rPr>
        <w:t xml:space="preserve"> </w:t>
      </w:r>
      <w:r w:rsidR="00592D7B" w:rsidRPr="00DF1530">
        <w:rPr>
          <w:lang w:val="ru-RU"/>
        </w:rPr>
        <w:t>хотя общий объ</w:t>
      </w:r>
      <w:r w:rsidR="00BD465D" w:rsidRPr="00DF1530">
        <w:rPr>
          <w:lang w:val="ru-RU"/>
        </w:rPr>
        <w:t>е</w:t>
      </w:r>
      <w:r w:rsidR="00592D7B" w:rsidRPr="00DF1530">
        <w:rPr>
          <w:lang w:val="ru-RU"/>
        </w:rPr>
        <w:t>м производства в этих странах значительно</w:t>
      </w:r>
      <w:r w:rsidR="008C7A93" w:rsidRPr="00DF1530">
        <w:rPr>
          <w:lang w:val="ru-RU"/>
        </w:rPr>
        <w:t xml:space="preserve"> </w:t>
      </w:r>
      <w:r w:rsidR="00592D7B" w:rsidRPr="00DF1530">
        <w:rPr>
          <w:lang w:val="ru-RU"/>
        </w:rPr>
        <w:t>меньше</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1.1.</w:t>
      </w:r>
      <w:r w:rsidR="008C7A93" w:rsidRPr="00DF1530">
        <w:rPr>
          <w:lang w:val="ru-RU"/>
        </w:rPr>
        <w:tab/>
      </w:r>
      <w:r w:rsidRPr="00DF1530">
        <w:rPr>
          <w:lang w:val="ru-RU"/>
        </w:rPr>
        <w:t>Количество предприятий</w:t>
      </w:r>
      <w:r w:rsidR="008C7A93" w:rsidRPr="00DF1530">
        <w:rPr>
          <w:lang w:val="ru-RU"/>
        </w:rPr>
        <w:t xml:space="preserve"> </w:t>
      </w:r>
      <w:r w:rsidRPr="00DF1530">
        <w:rPr>
          <w:lang w:val="ru-RU"/>
        </w:rPr>
        <w:t>и ВВП</w:t>
      </w:r>
      <w:r w:rsidR="009030BD" w:rsidRPr="00DF1530">
        <w:rPr>
          <w:lang w:val="ru-RU"/>
        </w:rPr>
        <w:fldChar w:fldCharType="begin"/>
      </w:r>
      <w:r w:rsidR="008C7A93" w:rsidRPr="00DF1530">
        <w:rPr>
          <w:lang w:val="ru-RU"/>
        </w:rPr>
        <w:instrText xml:space="preserve"> TC \f f \l 2 "</w:instrText>
      </w:r>
      <w:bookmarkStart w:id="31" w:name="_Toc411604101"/>
      <w:r w:rsidR="008C7A93" w:rsidRPr="00DF1530">
        <w:rPr>
          <w:lang w:val="ru-RU"/>
        </w:rPr>
        <w:instrText>Figure 1.1.</w:instrText>
      </w:r>
      <w:r w:rsidR="008C7A93" w:rsidRPr="00DF1530">
        <w:rPr>
          <w:lang w:val="ru-RU"/>
        </w:rPr>
        <w:tab/>
        <w:instrText>Number of enterprises and GDP</w:instrText>
      </w:r>
      <w:bookmarkEnd w:id="31"/>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FigureSub-title"/>
        <w:rPr>
          <w:lang w:val="ru-RU"/>
        </w:rPr>
      </w:pPr>
      <w:r w:rsidRPr="00DF1530">
        <w:rPr>
          <w:lang w:val="ru-RU"/>
        </w:rPr>
        <w:t xml:space="preserve">2011 </w:t>
      </w:r>
      <w:r w:rsidR="00592D7B" w:rsidRPr="00DF1530">
        <w:rPr>
          <w:lang w:val="ru-RU"/>
        </w:rPr>
        <w:t>г</w:t>
      </w:r>
      <w:r w:rsidR="00DD2995" w:rsidRPr="00DF1530">
        <w:rPr>
          <w:lang w:val="ru-RU"/>
        </w:rPr>
        <w:t>од</w:t>
      </w:r>
      <w:r w:rsidR="00592D7B" w:rsidRPr="00DF1530">
        <w:rPr>
          <w:lang w:val="ru-RU"/>
        </w:rPr>
        <w:t xml:space="preserve"> или последний год, за который имеются данные</w:t>
      </w:r>
    </w:p>
    <w:p w:rsidR="008C7A93" w:rsidRPr="00DF1530" w:rsidRDefault="008C7A93" w:rsidP="008C7A93">
      <w:pPr>
        <w:pStyle w:val="Graphic"/>
        <w:rPr>
          <w:lang w:val="ru-RU"/>
        </w:rPr>
      </w:pPr>
      <w:r w:rsidRPr="00DF1530">
        <w:rPr>
          <w:noProof/>
          <w:lang w:val="ru-RU" w:eastAsia="ru-RU"/>
        </w:rPr>
        <w:drawing>
          <wp:inline distT="0" distB="0" distL="0" distR="0">
            <wp:extent cx="5534025" cy="2657474"/>
            <wp:effectExtent l="0" t="0" r="0" b="0"/>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5E53F2" w:rsidRPr="00DF1530">
        <w:rPr>
          <w:lang w:val="ru-RU"/>
        </w:rPr>
        <w:t>ОЭСР</w:t>
      </w:r>
      <w:r w:rsidR="008C7A93" w:rsidRPr="00DF1530">
        <w:rPr>
          <w:lang w:val="ru-RU"/>
        </w:rPr>
        <w:t xml:space="preserve"> (2014) </w:t>
      </w:r>
      <w:r w:rsidR="00347E3A" w:rsidRPr="00DF1530">
        <w:rPr>
          <w:lang w:val="ru-RU"/>
        </w:rPr>
        <w:t>Entrepreneurship at a Glance</w:t>
      </w:r>
      <w:r w:rsidR="00EC03E6" w:rsidRPr="00DF1530">
        <w:rPr>
          <w:lang w:val="ru-RU"/>
        </w:rPr>
        <w:t>,</w:t>
      </w:r>
      <w:r w:rsidR="008C7A93" w:rsidRPr="00DF1530">
        <w:rPr>
          <w:lang w:val="ru-RU"/>
        </w:rPr>
        <w:t xml:space="preserve"> 2014</w:t>
      </w:r>
      <w:r w:rsidR="00EC03E6" w:rsidRPr="00DF1530">
        <w:rPr>
          <w:lang w:val="ru-RU"/>
        </w:rPr>
        <w:t xml:space="preserve"> г.</w:t>
      </w:r>
      <w:r w:rsidR="008C7A93" w:rsidRPr="00DF1530">
        <w:rPr>
          <w:lang w:val="ru-RU"/>
        </w:rPr>
        <w:t xml:space="preserve">, </w:t>
      </w:r>
      <w:r w:rsidR="00EC03E6" w:rsidRPr="00DF1530">
        <w:rPr>
          <w:lang w:val="ru-RU"/>
        </w:rPr>
        <w:t>Париж</w:t>
      </w:r>
      <w:r w:rsidR="008C7A93" w:rsidRPr="00DF1530">
        <w:rPr>
          <w:lang w:val="ru-RU"/>
        </w:rPr>
        <w:t>.  http://dx.doi.org/10.1787/entrepreneur_aag-2014-en.</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92D7B" w:rsidRPr="00DF1530">
        <w:rPr>
          <w:lang w:val="ru-RU"/>
        </w:rPr>
        <w:t xml:space="preserve"> Недостаточный масштаб деятельности </w:t>
      </w:r>
      <w:r w:rsidR="00834072" w:rsidRPr="00DF1530">
        <w:rPr>
          <w:lang w:val="ru-RU"/>
        </w:rPr>
        <w:t>МСП</w:t>
      </w:r>
      <w:r w:rsidR="008C7A93" w:rsidRPr="00DF1530">
        <w:rPr>
          <w:lang w:val="ru-RU"/>
        </w:rPr>
        <w:t xml:space="preserve"> </w:t>
      </w:r>
      <w:r w:rsidR="00592D7B" w:rsidRPr="00DF1530">
        <w:rPr>
          <w:lang w:val="ru-RU"/>
        </w:rPr>
        <w:t>также</w:t>
      </w:r>
      <w:r w:rsidR="008C7A93" w:rsidRPr="00DF1530">
        <w:rPr>
          <w:lang w:val="ru-RU"/>
        </w:rPr>
        <w:t xml:space="preserve"> </w:t>
      </w:r>
      <w:r w:rsidR="00592D7B" w:rsidRPr="00DF1530">
        <w:rPr>
          <w:lang w:val="ru-RU"/>
        </w:rPr>
        <w:t>отражается в статистике занятости</w:t>
      </w:r>
      <w:r w:rsidR="008C7A93" w:rsidRPr="00DF1530">
        <w:rPr>
          <w:lang w:val="ru-RU"/>
        </w:rPr>
        <w:t xml:space="preserve">. </w:t>
      </w:r>
      <w:r w:rsidR="00F736B7" w:rsidRPr="00DF1530">
        <w:rPr>
          <w:lang w:val="ru-RU"/>
        </w:rPr>
        <w:t xml:space="preserve">За исключением лиц, занимающихся </w:t>
      </w:r>
      <w:r w:rsidR="00E359BA" w:rsidRPr="00DF1530">
        <w:rPr>
          <w:lang w:val="ru-RU"/>
        </w:rPr>
        <w:t>индивидуальной трудовой и предпринимательской</w:t>
      </w:r>
      <w:r w:rsidR="00F736B7" w:rsidRPr="00DF1530">
        <w:rPr>
          <w:lang w:val="ru-RU"/>
        </w:rPr>
        <w:t xml:space="preserve"> деятельностью</w:t>
      </w:r>
      <w:r w:rsidR="008C7A93" w:rsidRPr="00DF1530">
        <w:rPr>
          <w:lang w:val="ru-RU"/>
        </w:rPr>
        <w:t xml:space="preserve">, </w:t>
      </w:r>
      <w:r w:rsidR="00F736B7" w:rsidRPr="00DF1530">
        <w:rPr>
          <w:lang w:val="ru-RU"/>
        </w:rPr>
        <w:t>в 2012 году российские МСП</w:t>
      </w:r>
      <w:r w:rsidR="008C7A93" w:rsidRPr="00DF1530">
        <w:rPr>
          <w:lang w:val="ru-RU"/>
        </w:rPr>
        <w:t xml:space="preserve"> </w:t>
      </w:r>
      <w:r w:rsidR="00F736B7" w:rsidRPr="00DF1530">
        <w:rPr>
          <w:lang w:val="ru-RU"/>
        </w:rPr>
        <w:t xml:space="preserve">обеспечили </w:t>
      </w:r>
      <w:r w:rsidR="008C7A93" w:rsidRPr="00DF1530">
        <w:rPr>
          <w:lang w:val="ru-RU"/>
        </w:rPr>
        <w:t>13</w:t>
      </w:r>
      <w:r w:rsidR="00F736B7" w:rsidRPr="00DF1530">
        <w:rPr>
          <w:lang w:val="ru-RU"/>
        </w:rPr>
        <w:t>,</w:t>
      </w:r>
      <w:r w:rsidR="008C7A93" w:rsidRPr="00DF1530">
        <w:rPr>
          <w:lang w:val="ru-RU"/>
        </w:rPr>
        <w:t xml:space="preserve">5 </w:t>
      </w:r>
      <w:r w:rsidR="00834072" w:rsidRPr="00DF1530">
        <w:rPr>
          <w:lang w:val="ru-RU"/>
        </w:rPr>
        <w:t>миллион</w:t>
      </w:r>
      <w:r w:rsidR="00EC03E6" w:rsidRPr="00DF1530">
        <w:rPr>
          <w:lang w:val="ru-RU"/>
        </w:rPr>
        <w:t>ов</w:t>
      </w:r>
      <w:r w:rsidR="008C7A93" w:rsidRPr="00DF1530">
        <w:rPr>
          <w:lang w:val="ru-RU"/>
        </w:rPr>
        <w:t xml:space="preserve"> </w:t>
      </w:r>
      <w:r w:rsidR="00F736B7" w:rsidRPr="00DF1530">
        <w:rPr>
          <w:lang w:val="ru-RU"/>
        </w:rPr>
        <w:t>рабочих мест</w:t>
      </w:r>
      <w:r w:rsidR="008C7A93" w:rsidRPr="00DF1530">
        <w:rPr>
          <w:lang w:val="ru-RU"/>
        </w:rPr>
        <w:t xml:space="preserve">. </w:t>
      </w:r>
      <w:r w:rsidR="00F736B7" w:rsidRPr="00DF1530">
        <w:rPr>
          <w:lang w:val="ru-RU"/>
        </w:rPr>
        <w:t>Хотя</w:t>
      </w:r>
      <w:r w:rsidR="008C7A93" w:rsidRPr="00DF1530">
        <w:rPr>
          <w:lang w:val="ru-RU"/>
        </w:rPr>
        <w:t xml:space="preserve"> </w:t>
      </w:r>
      <w:r w:rsidR="00F736B7" w:rsidRPr="00DF1530">
        <w:rPr>
          <w:lang w:val="ru-RU"/>
        </w:rPr>
        <w:t>это значительное количество</w:t>
      </w:r>
      <w:r w:rsidR="008C7A93" w:rsidRPr="00DF1530">
        <w:rPr>
          <w:lang w:val="ru-RU"/>
        </w:rPr>
        <w:t xml:space="preserve">, </w:t>
      </w:r>
      <w:r w:rsidR="000D6ED8" w:rsidRPr="00DF1530">
        <w:rPr>
          <w:lang w:val="ru-RU"/>
        </w:rPr>
        <w:t xml:space="preserve">но, </w:t>
      </w:r>
      <w:r w:rsidR="00F736B7" w:rsidRPr="00DF1530">
        <w:rPr>
          <w:lang w:val="ru-RU"/>
        </w:rPr>
        <w:t xml:space="preserve">соответствуя лишь </w:t>
      </w:r>
      <w:r w:rsidR="008C7A93" w:rsidRPr="00DF1530">
        <w:rPr>
          <w:lang w:val="ru-RU"/>
        </w:rPr>
        <w:t>29</w:t>
      </w:r>
      <w:r w:rsidR="00F736B7" w:rsidRPr="00DF1530">
        <w:rPr>
          <w:lang w:val="ru-RU"/>
        </w:rPr>
        <w:t>,</w:t>
      </w:r>
      <w:r w:rsidR="008C7A93" w:rsidRPr="00DF1530">
        <w:rPr>
          <w:lang w:val="ru-RU"/>
        </w:rPr>
        <w:t xml:space="preserve">3% </w:t>
      </w:r>
      <w:r w:rsidR="00F736B7" w:rsidRPr="00DF1530">
        <w:rPr>
          <w:lang w:val="ru-RU"/>
        </w:rPr>
        <w:t>всех рабочих мест в 2011 году</w:t>
      </w:r>
      <w:r w:rsidR="008C7A93" w:rsidRPr="00DF1530">
        <w:rPr>
          <w:lang w:val="ru-RU"/>
        </w:rPr>
        <w:t xml:space="preserve">, </w:t>
      </w:r>
      <w:r w:rsidR="00F736B7" w:rsidRPr="00DF1530">
        <w:rPr>
          <w:lang w:val="ru-RU"/>
        </w:rPr>
        <w:t>доля МСП</w:t>
      </w:r>
      <w:r w:rsidR="008C7A93" w:rsidRPr="00DF1530">
        <w:rPr>
          <w:lang w:val="ru-RU"/>
        </w:rPr>
        <w:t xml:space="preserve"> </w:t>
      </w:r>
      <w:r w:rsidR="00F736B7" w:rsidRPr="00DF1530">
        <w:rPr>
          <w:lang w:val="ru-RU"/>
        </w:rPr>
        <w:t xml:space="preserve">в обеспечении занятости </w:t>
      </w:r>
      <w:r w:rsidR="00834072" w:rsidRPr="00DF1530">
        <w:rPr>
          <w:lang w:val="ru-RU"/>
        </w:rPr>
        <w:t>в Российской Федерации</w:t>
      </w:r>
      <w:r w:rsidR="008C7A93" w:rsidRPr="00DF1530">
        <w:rPr>
          <w:lang w:val="ru-RU"/>
        </w:rPr>
        <w:t xml:space="preserve"> </w:t>
      </w:r>
      <w:r w:rsidR="00F736B7" w:rsidRPr="00DF1530">
        <w:rPr>
          <w:lang w:val="ru-RU"/>
        </w:rPr>
        <w:lastRenderedPageBreak/>
        <w:t xml:space="preserve">значительно меньше, чем в других странах </w:t>
      </w:r>
      <w:r w:rsidR="008C7A93" w:rsidRPr="00DF1530">
        <w:rPr>
          <w:lang w:val="ru-RU"/>
        </w:rPr>
        <w:t>(</w:t>
      </w:r>
      <w:r w:rsidR="00592D7B" w:rsidRPr="00DF1530">
        <w:rPr>
          <w:lang w:val="ru-RU"/>
        </w:rPr>
        <w:t>Рисунок</w:t>
      </w:r>
      <w:r w:rsidR="008C7A93" w:rsidRPr="00DF1530">
        <w:rPr>
          <w:lang w:val="ru-RU"/>
        </w:rPr>
        <w:t xml:space="preserve"> 1.2)</w:t>
      </w:r>
      <w:r w:rsidR="00F736B7" w:rsidRPr="00DF1530">
        <w:rPr>
          <w:lang w:val="ru-RU"/>
        </w:rPr>
        <w:t>, таких, как Германия</w:t>
      </w:r>
      <w:r w:rsidR="008C7A93" w:rsidRPr="00DF1530">
        <w:rPr>
          <w:lang w:val="ru-RU"/>
        </w:rPr>
        <w:t xml:space="preserve"> (64</w:t>
      </w:r>
      <w:r w:rsidR="00F736B7" w:rsidRPr="00DF1530">
        <w:rPr>
          <w:lang w:val="ru-RU"/>
        </w:rPr>
        <w:t>,</w:t>
      </w:r>
      <w:r w:rsidR="008C7A93" w:rsidRPr="00DF1530">
        <w:rPr>
          <w:lang w:val="ru-RU"/>
        </w:rPr>
        <w:t xml:space="preserve">5%) </w:t>
      </w:r>
      <w:r w:rsidR="00BD465D" w:rsidRPr="00DF1530">
        <w:rPr>
          <w:lang w:val="ru-RU"/>
        </w:rPr>
        <w:t xml:space="preserve">и </w:t>
      </w:r>
      <w:r w:rsidR="00592D7B" w:rsidRPr="00DF1530">
        <w:rPr>
          <w:lang w:val="ru-RU"/>
        </w:rPr>
        <w:t>Мексика</w:t>
      </w:r>
      <w:r w:rsidR="008C7A93" w:rsidRPr="00DF1530">
        <w:rPr>
          <w:lang w:val="ru-RU"/>
        </w:rPr>
        <w:t xml:space="preserve"> (74</w:t>
      </w:r>
      <w:r w:rsidR="00F736B7" w:rsidRPr="00DF1530">
        <w:rPr>
          <w:lang w:val="ru-RU"/>
        </w:rPr>
        <w:t>,0%</w:t>
      </w:r>
      <w:r w:rsidR="008C7A93" w:rsidRPr="00DF1530">
        <w:rPr>
          <w:lang w:val="ru-RU"/>
        </w:rPr>
        <w:t>)</w:t>
      </w:r>
      <w:r w:rsidR="00BD465D" w:rsidRPr="00DF1530">
        <w:rPr>
          <w:lang w:val="ru-RU"/>
        </w:rPr>
        <w:t>,</w:t>
      </w:r>
      <w:r w:rsidR="008C7A93" w:rsidRPr="00DF1530">
        <w:rPr>
          <w:lang w:val="ru-RU"/>
        </w:rPr>
        <w:t xml:space="preserve"> </w:t>
      </w:r>
      <w:r w:rsidR="00F736B7" w:rsidRPr="00DF1530">
        <w:rPr>
          <w:lang w:val="ru-RU"/>
        </w:rPr>
        <w:t xml:space="preserve">и </w:t>
      </w:r>
      <w:r w:rsidR="00BD465D" w:rsidRPr="00DF1530">
        <w:rPr>
          <w:lang w:val="ru-RU"/>
        </w:rPr>
        <w:t xml:space="preserve">меньше, чем в среднем по </w:t>
      </w:r>
      <w:r w:rsidR="005E53F2" w:rsidRPr="00DF1530">
        <w:rPr>
          <w:lang w:val="ru-RU"/>
        </w:rPr>
        <w:t>ОЭСР</w:t>
      </w:r>
      <w:r w:rsidR="008C7A93" w:rsidRPr="00DF1530">
        <w:rPr>
          <w:lang w:val="ru-RU"/>
        </w:rPr>
        <w:t xml:space="preserve"> (70</w:t>
      </w:r>
      <w:r w:rsidR="00F736B7" w:rsidRPr="00DF1530">
        <w:rPr>
          <w:lang w:val="ru-RU"/>
        </w:rPr>
        <w:t>,</w:t>
      </w:r>
      <w:r w:rsidR="008C7A93" w:rsidRPr="00DF1530">
        <w:rPr>
          <w:lang w:val="ru-RU"/>
        </w:rPr>
        <w:t xml:space="preserve">7%). </w:t>
      </w:r>
      <w:proofErr w:type="gramStart"/>
      <w:r w:rsidR="00F736B7" w:rsidRPr="00DF1530">
        <w:rPr>
          <w:lang w:val="ru-RU"/>
        </w:rPr>
        <w:t>В частности</w:t>
      </w:r>
      <w:r w:rsidR="008C7A93" w:rsidRPr="00DF1530">
        <w:rPr>
          <w:lang w:val="ru-RU"/>
        </w:rPr>
        <w:t xml:space="preserve">, </w:t>
      </w:r>
      <w:r w:rsidR="00F736B7" w:rsidRPr="00DF1530">
        <w:rPr>
          <w:lang w:val="ru-RU"/>
        </w:rPr>
        <w:t>пропорциональная часть занятости, приходящаяся на микро</w:t>
      </w:r>
      <w:r w:rsidR="000D6ED8" w:rsidRPr="00DF1530">
        <w:rPr>
          <w:lang w:val="ru-RU"/>
        </w:rPr>
        <w:t>предприятия</w:t>
      </w:r>
      <w:r w:rsidR="00F736B7" w:rsidRPr="00DF1530">
        <w:rPr>
          <w:lang w:val="ru-RU"/>
        </w:rPr>
        <w:t>,</w:t>
      </w:r>
      <w:r w:rsidR="008C7A93" w:rsidRPr="00DF1530">
        <w:rPr>
          <w:lang w:val="ru-RU"/>
        </w:rPr>
        <w:t xml:space="preserve"> </w:t>
      </w:r>
      <w:r w:rsidR="00F736B7" w:rsidRPr="00DF1530">
        <w:rPr>
          <w:lang w:val="ru-RU"/>
        </w:rPr>
        <w:t>равня</w:t>
      </w:r>
      <w:r w:rsidR="000D6ED8" w:rsidRPr="00DF1530">
        <w:rPr>
          <w:lang w:val="ru-RU"/>
        </w:rPr>
        <w:t xml:space="preserve">ется </w:t>
      </w:r>
      <w:r w:rsidR="00F736B7" w:rsidRPr="00DF1530">
        <w:rPr>
          <w:lang w:val="ru-RU"/>
        </w:rPr>
        <w:t xml:space="preserve">в Российской Федерации всего </w:t>
      </w:r>
      <w:r w:rsidR="008C7A93" w:rsidRPr="00DF1530">
        <w:rPr>
          <w:lang w:val="ru-RU"/>
        </w:rPr>
        <w:t>0</w:t>
      </w:r>
      <w:r w:rsidR="00F736B7" w:rsidRPr="00DF1530">
        <w:rPr>
          <w:lang w:val="ru-RU"/>
        </w:rPr>
        <w:t>,</w:t>
      </w:r>
      <w:r w:rsidR="008C7A93" w:rsidRPr="00DF1530">
        <w:rPr>
          <w:lang w:val="ru-RU"/>
        </w:rPr>
        <w:t xml:space="preserve">9%, </w:t>
      </w:r>
      <w:r w:rsidR="00F736B7" w:rsidRPr="00DF1530">
        <w:rPr>
          <w:lang w:val="ru-RU"/>
        </w:rPr>
        <w:t xml:space="preserve">по сравнению со средним показателем </w:t>
      </w:r>
      <w:r w:rsidR="008C7A93" w:rsidRPr="00DF1530">
        <w:rPr>
          <w:lang w:val="ru-RU"/>
        </w:rPr>
        <w:t>32</w:t>
      </w:r>
      <w:r w:rsidR="00F736B7" w:rsidRPr="00DF1530">
        <w:rPr>
          <w:lang w:val="ru-RU"/>
        </w:rPr>
        <w:t>,</w:t>
      </w:r>
      <w:r w:rsidR="008C7A93" w:rsidRPr="00DF1530">
        <w:rPr>
          <w:lang w:val="ru-RU"/>
        </w:rPr>
        <w:t xml:space="preserve">2% </w:t>
      </w:r>
      <w:r w:rsidR="00F736B7" w:rsidRPr="00DF1530">
        <w:rPr>
          <w:lang w:val="ru-RU"/>
        </w:rPr>
        <w:t>в странах ОЭСР</w:t>
      </w:r>
      <w:r w:rsidR="008C7A93" w:rsidRPr="00DF1530">
        <w:rPr>
          <w:lang w:val="ru-RU"/>
        </w:rPr>
        <w:t xml:space="preserve">, </w:t>
      </w:r>
      <w:r w:rsidR="000D6ED8" w:rsidRPr="00DF1530">
        <w:rPr>
          <w:lang w:val="ru-RU"/>
        </w:rPr>
        <w:t>а</w:t>
      </w:r>
      <w:r w:rsidR="00F736B7" w:rsidRPr="00DF1530">
        <w:rPr>
          <w:lang w:val="ru-RU"/>
        </w:rPr>
        <w:t xml:space="preserve"> на </w:t>
      </w:r>
      <w:r w:rsidR="00BE59DA" w:rsidRPr="00DF1530">
        <w:rPr>
          <w:lang w:val="ru-RU"/>
        </w:rPr>
        <w:t xml:space="preserve">предприятия </w:t>
      </w:r>
      <w:r w:rsidR="00BE59DA">
        <w:rPr>
          <w:lang w:val="ru-RU"/>
        </w:rPr>
        <w:t xml:space="preserve">с </w:t>
      </w:r>
      <w:r w:rsidR="008C7A93" w:rsidRPr="00DF1530">
        <w:rPr>
          <w:lang w:val="ru-RU"/>
        </w:rPr>
        <w:t xml:space="preserve">10-49 </w:t>
      </w:r>
      <w:r w:rsidR="00F736B7" w:rsidRPr="00DF1530">
        <w:rPr>
          <w:lang w:val="ru-RU"/>
        </w:rPr>
        <w:t>сотрудник</w:t>
      </w:r>
      <w:r w:rsidR="00BE59DA">
        <w:rPr>
          <w:lang w:val="ru-RU"/>
        </w:rPr>
        <w:t>ами</w:t>
      </w:r>
      <w:r w:rsidR="008C7A93" w:rsidRPr="00DF1530">
        <w:rPr>
          <w:lang w:val="ru-RU"/>
        </w:rPr>
        <w:t xml:space="preserve"> </w:t>
      </w:r>
      <w:r w:rsidR="00F736B7" w:rsidRPr="00DF1530">
        <w:rPr>
          <w:lang w:val="ru-RU"/>
        </w:rPr>
        <w:t>приходи</w:t>
      </w:r>
      <w:r w:rsidR="000D6ED8" w:rsidRPr="00DF1530">
        <w:rPr>
          <w:lang w:val="ru-RU"/>
        </w:rPr>
        <w:t xml:space="preserve">тся </w:t>
      </w:r>
      <w:r w:rsidR="00BD465D" w:rsidRPr="00DF1530">
        <w:rPr>
          <w:lang w:val="ru-RU"/>
        </w:rPr>
        <w:t xml:space="preserve">лишь </w:t>
      </w:r>
      <w:r w:rsidR="008C7A93" w:rsidRPr="00DF1530">
        <w:rPr>
          <w:lang w:val="ru-RU"/>
        </w:rPr>
        <w:t>4</w:t>
      </w:r>
      <w:r w:rsidR="00F736B7" w:rsidRPr="00DF1530">
        <w:rPr>
          <w:lang w:val="ru-RU"/>
        </w:rPr>
        <w:t>,</w:t>
      </w:r>
      <w:r w:rsidR="008C7A93" w:rsidRPr="00DF1530">
        <w:rPr>
          <w:lang w:val="ru-RU"/>
        </w:rPr>
        <w:t xml:space="preserve">9% </w:t>
      </w:r>
      <w:r w:rsidR="00F736B7" w:rsidRPr="00DF1530">
        <w:rPr>
          <w:lang w:val="ru-RU"/>
        </w:rPr>
        <w:t xml:space="preserve">всех рабочих мест в </w:t>
      </w:r>
      <w:r w:rsidR="005E53F2" w:rsidRPr="00DF1530">
        <w:rPr>
          <w:lang w:val="ru-RU"/>
        </w:rPr>
        <w:t>Российск</w:t>
      </w:r>
      <w:r w:rsidR="00F736B7" w:rsidRPr="00DF1530">
        <w:rPr>
          <w:lang w:val="ru-RU"/>
        </w:rPr>
        <w:t>ой</w:t>
      </w:r>
      <w:r w:rsidR="005E53F2" w:rsidRPr="00DF1530">
        <w:rPr>
          <w:lang w:val="ru-RU"/>
        </w:rPr>
        <w:t xml:space="preserve"> Федераци</w:t>
      </w:r>
      <w:r w:rsidR="00F736B7" w:rsidRPr="00DF1530">
        <w:rPr>
          <w:lang w:val="ru-RU"/>
        </w:rPr>
        <w:t>и</w:t>
      </w:r>
      <w:r w:rsidR="008C7A93" w:rsidRPr="00DF1530">
        <w:rPr>
          <w:lang w:val="ru-RU"/>
        </w:rPr>
        <w:t xml:space="preserve">, </w:t>
      </w:r>
      <w:r w:rsidR="00F736B7" w:rsidRPr="00DF1530">
        <w:rPr>
          <w:lang w:val="ru-RU"/>
        </w:rPr>
        <w:t>по сравнению со средним показателем по</w:t>
      </w:r>
      <w:r w:rsidR="008C7A93" w:rsidRPr="00DF1530">
        <w:rPr>
          <w:lang w:val="ru-RU"/>
        </w:rPr>
        <w:t xml:space="preserve"> </w:t>
      </w:r>
      <w:r w:rsidR="005E53F2" w:rsidRPr="00DF1530">
        <w:rPr>
          <w:lang w:val="ru-RU"/>
        </w:rPr>
        <w:t>ОЭСР</w:t>
      </w:r>
      <w:r w:rsidR="008C7A93" w:rsidRPr="00DF1530">
        <w:rPr>
          <w:lang w:val="ru-RU"/>
        </w:rPr>
        <w:t xml:space="preserve"> 21</w:t>
      </w:r>
      <w:r w:rsidR="00F736B7" w:rsidRPr="00DF1530">
        <w:rPr>
          <w:lang w:val="ru-RU"/>
        </w:rPr>
        <w:t>,</w:t>
      </w:r>
      <w:r w:rsidR="008C7A93" w:rsidRPr="00DF1530">
        <w:rPr>
          <w:lang w:val="ru-RU"/>
        </w:rPr>
        <w:t xml:space="preserve">6%. </w:t>
      </w:r>
      <w:r w:rsidR="00F736B7" w:rsidRPr="00DF1530">
        <w:rPr>
          <w:lang w:val="ru-RU"/>
        </w:rPr>
        <w:t>С другой стороны</w:t>
      </w:r>
      <w:r w:rsidR="008C7A93" w:rsidRPr="00DF1530">
        <w:rPr>
          <w:lang w:val="ru-RU"/>
        </w:rPr>
        <w:t xml:space="preserve">, </w:t>
      </w:r>
      <w:r w:rsidR="00F736B7" w:rsidRPr="00DF1530">
        <w:rPr>
          <w:lang w:val="ru-RU"/>
        </w:rPr>
        <w:t xml:space="preserve">пропорциональная часть занятости, приходящаяся в Российской Федерации на </w:t>
      </w:r>
      <w:r w:rsidR="000D6ED8" w:rsidRPr="00DF1530">
        <w:rPr>
          <w:lang w:val="ru-RU"/>
        </w:rPr>
        <w:t xml:space="preserve">предприятия </w:t>
      </w:r>
      <w:r w:rsidR="00BE59DA">
        <w:rPr>
          <w:lang w:val="ru-RU"/>
        </w:rPr>
        <w:t xml:space="preserve">с </w:t>
      </w:r>
      <w:r w:rsidR="008C7A93" w:rsidRPr="00DF1530">
        <w:rPr>
          <w:lang w:val="ru-RU"/>
        </w:rPr>
        <w:t>50-249</w:t>
      </w:r>
      <w:proofErr w:type="gramEnd"/>
      <w:r w:rsidR="008C7A93" w:rsidRPr="00DF1530">
        <w:rPr>
          <w:lang w:val="ru-RU"/>
        </w:rPr>
        <w:t xml:space="preserve"> </w:t>
      </w:r>
      <w:r w:rsidR="00BE59DA" w:rsidRPr="00DF1530">
        <w:rPr>
          <w:lang w:val="ru-RU"/>
        </w:rPr>
        <w:t>сотрудник</w:t>
      </w:r>
      <w:r w:rsidR="00BE59DA">
        <w:rPr>
          <w:lang w:val="ru-RU"/>
        </w:rPr>
        <w:t>ами</w:t>
      </w:r>
      <w:r w:rsidR="00BE59DA" w:rsidRPr="00DF1530">
        <w:rPr>
          <w:lang w:val="ru-RU"/>
        </w:rPr>
        <w:t xml:space="preserve"> </w:t>
      </w:r>
      <w:r w:rsidR="008C7A93" w:rsidRPr="00DF1530">
        <w:rPr>
          <w:lang w:val="ru-RU"/>
        </w:rPr>
        <w:t>(23</w:t>
      </w:r>
      <w:r w:rsidR="00F736B7" w:rsidRPr="00DF1530">
        <w:rPr>
          <w:lang w:val="ru-RU"/>
        </w:rPr>
        <w:t>,</w:t>
      </w:r>
      <w:r w:rsidR="008C7A93" w:rsidRPr="00DF1530">
        <w:rPr>
          <w:lang w:val="ru-RU"/>
        </w:rPr>
        <w:t>5%)</w:t>
      </w:r>
      <w:r w:rsidR="00F736B7" w:rsidRPr="00DF1530">
        <w:rPr>
          <w:lang w:val="ru-RU"/>
        </w:rPr>
        <w:t>,</w:t>
      </w:r>
      <w:r w:rsidR="008C7A93" w:rsidRPr="00DF1530">
        <w:rPr>
          <w:lang w:val="ru-RU"/>
        </w:rPr>
        <w:t xml:space="preserve"> </w:t>
      </w:r>
      <w:r w:rsidR="00DD2995" w:rsidRPr="00DF1530">
        <w:rPr>
          <w:lang w:val="ru-RU"/>
        </w:rPr>
        <w:t>не меньше, чем во многих других странах</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1.2.</w:t>
      </w:r>
      <w:r w:rsidR="008C7A93" w:rsidRPr="00DF1530">
        <w:rPr>
          <w:lang w:val="ru-RU"/>
        </w:rPr>
        <w:tab/>
      </w:r>
      <w:r w:rsidR="00DD2995" w:rsidRPr="00DF1530">
        <w:rPr>
          <w:lang w:val="ru-RU"/>
        </w:rPr>
        <w:t>Пропорциональная часть занятости</w:t>
      </w:r>
      <w:r w:rsidR="008C7A93" w:rsidRPr="00DF1530">
        <w:rPr>
          <w:lang w:val="ru-RU"/>
        </w:rPr>
        <w:t xml:space="preserve"> </w:t>
      </w:r>
      <w:r w:rsidR="00DD2995" w:rsidRPr="00DF1530">
        <w:rPr>
          <w:lang w:val="ru-RU"/>
        </w:rPr>
        <w:t xml:space="preserve">по величине </w:t>
      </w:r>
      <w:r w:rsidR="00834072" w:rsidRPr="00DF1530">
        <w:rPr>
          <w:lang w:val="ru-RU"/>
        </w:rPr>
        <w:t>предприяти</w:t>
      </w:r>
      <w:r w:rsidR="00DD2995" w:rsidRPr="00DF1530">
        <w:rPr>
          <w:lang w:val="ru-RU"/>
        </w:rPr>
        <w:t>й</w:t>
      </w:r>
      <w:r w:rsidR="008C7A93" w:rsidRPr="00DF1530">
        <w:rPr>
          <w:lang w:val="ru-RU"/>
        </w:rPr>
        <w:t xml:space="preserve">, </w:t>
      </w:r>
      <w:r w:rsidR="00DD2995" w:rsidRPr="00DF1530">
        <w:rPr>
          <w:lang w:val="ru-RU"/>
        </w:rPr>
        <w:t>2011 год или последний год, за который имеются данные</w:t>
      </w:r>
      <w:r w:rsidR="009030BD" w:rsidRPr="00DF1530">
        <w:rPr>
          <w:lang w:val="ru-RU"/>
        </w:rPr>
        <w:fldChar w:fldCharType="begin"/>
      </w:r>
      <w:r w:rsidR="008C7A93" w:rsidRPr="00DF1530">
        <w:rPr>
          <w:lang w:val="ru-RU"/>
        </w:rPr>
        <w:instrText xml:space="preserve"> TC \f f \l 2 "</w:instrText>
      </w:r>
      <w:bookmarkStart w:id="32" w:name="_Toc411604102"/>
      <w:r w:rsidR="008C7A93" w:rsidRPr="00DF1530">
        <w:rPr>
          <w:lang w:val="ru-RU"/>
        </w:rPr>
        <w:instrText>Figure 1.2.</w:instrText>
      </w:r>
      <w:r w:rsidR="008C7A93" w:rsidRPr="00DF1530">
        <w:rPr>
          <w:lang w:val="ru-RU"/>
        </w:rPr>
        <w:tab/>
        <w:instrText>Share of employment by enterprise size class, 2011 or latest available year</w:instrText>
      </w:r>
      <w:bookmarkEnd w:id="32"/>
      <w:r w:rsidR="008C7A93" w:rsidRPr="00DF1530">
        <w:rPr>
          <w:lang w:val="ru-RU"/>
        </w:rPr>
        <w:instrText xml:space="preserve">"  </w:instrText>
      </w:r>
      <w:r w:rsidR="009030BD" w:rsidRPr="00DF1530">
        <w:rPr>
          <w:lang w:val="ru-RU"/>
        </w:rPr>
        <w:fldChar w:fldCharType="end"/>
      </w:r>
    </w:p>
    <w:p w:rsidR="008C7A93" w:rsidRPr="00DF1530" w:rsidRDefault="00DD2995" w:rsidP="008C7A93">
      <w:pPr>
        <w:pStyle w:val="FigureSub-title"/>
        <w:rPr>
          <w:lang w:val="ru-RU"/>
        </w:rPr>
      </w:pPr>
      <w:r w:rsidRPr="00DF1530">
        <w:rPr>
          <w:lang w:val="ru-RU"/>
        </w:rPr>
        <w:t>Процентные величины</w:t>
      </w:r>
    </w:p>
    <w:p w:rsidR="008C7A93" w:rsidRPr="00DF1530" w:rsidRDefault="008C7A93" w:rsidP="008C7A93">
      <w:pPr>
        <w:pStyle w:val="Graphic"/>
        <w:rPr>
          <w:lang w:val="ru-RU"/>
        </w:rPr>
      </w:pPr>
      <w:r w:rsidRPr="00DF1530">
        <w:rPr>
          <w:noProof/>
          <w:lang w:val="ru-RU" w:eastAsia="ru-RU"/>
        </w:rPr>
        <w:drawing>
          <wp:inline distT="0" distB="0" distL="0" distR="0">
            <wp:extent cx="5562600" cy="2552700"/>
            <wp:effectExtent l="0" t="0" r="19050" b="19050"/>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7A93" w:rsidRPr="00DF1530" w:rsidRDefault="00DD2995" w:rsidP="008C7A93">
      <w:pPr>
        <w:pStyle w:val="FigureNote"/>
        <w:rPr>
          <w:lang w:val="ru-RU"/>
        </w:rPr>
      </w:pPr>
      <w:r w:rsidRPr="00DF1530">
        <w:rPr>
          <w:lang w:val="ru-RU"/>
        </w:rPr>
        <w:t>Примечание:</w:t>
      </w:r>
      <w:r w:rsidR="008C7A93" w:rsidRPr="00DF1530">
        <w:rPr>
          <w:lang w:val="ru-RU"/>
        </w:rPr>
        <w:t xml:space="preserve"> </w:t>
      </w:r>
      <w:r w:rsidR="00C359CC" w:rsidRPr="00DF1530">
        <w:rPr>
          <w:lang w:val="ru-RU"/>
        </w:rPr>
        <w:t xml:space="preserve">Классификация по величине предприятий </w:t>
      </w:r>
      <w:r w:rsidR="008C7A93" w:rsidRPr="00DF1530">
        <w:rPr>
          <w:lang w:val="ru-RU"/>
        </w:rPr>
        <w:t xml:space="preserve">1-9, 10-19, 20-49, 50-249, 250+ </w:t>
      </w:r>
      <w:r w:rsidR="00C359CC" w:rsidRPr="00DF1530">
        <w:rPr>
          <w:lang w:val="ru-RU"/>
        </w:rPr>
        <w:t xml:space="preserve">обеспечивает оптимальную сопоставимость, учитывая различия в </w:t>
      </w:r>
      <w:r w:rsidR="004F360C" w:rsidRPr="00DF1530">
        <w:rPr>
          <w:lang w:val="ru-RU"/>
        </w:rPr>
        <w:t xml:space="preserve">методиках </w:t>
      </w:r>
      <w:r w:rsidR="00C359CC" w:rsidRPr="00DF1530">
        <w:rPr>
          <w:lang w:val="ru-RU"/>
        </w:rPr>
        <w:t>сбора данных в разных странах</w:t>
      </w:r>
      <w:r w:rsidR="008C7A93" w:rsidRPr="00DF1530">
        <w:rPr>
          <w:lang w:val="ru-RU"/>
        </w:rPr>
        <w:t xml:space="preserve">. </w:t>
      </w:r>
      <w:r w:rsidR="00C359CC" w:rsidRPr="00DF1530">
        <w:rPr>
          <w:lang w:val="ru-RU"/>
        </w:rPr>
        <w:t>В некоторых странах используются иные методики</w:t>
      </w:r>
      <w:r w:rsidR="008C7A93" w:rsidRPr="00DF1530">
        <w:rPr>
          <w:lang w:val="ru-RU"/>
        </w:rPr>
        <w:t xml:space="preserve">: </w:t>
      </w:r>
      <w:r w:rsidR="00C359CC" w:rsidRPr="00DF1530">
        <w:rPr>
          <w:lang w:val="ru-RU"/>
        </w:rPr>
        <w:t>величина «</w:t>
      </w:r>
      <w:r w:rsidR="008C7A93" w:rsidRPr="00DF1530">
        <w:rPr>
          <w:lang w:val="ru-RU"/>
        </w:rPr>
        <w:t>1-9</w:t>
      </w:r>
      <w:r w:rsidR="00C359CC" w:rsidRPr="00DF1530">
        <w:rPr>
          <w:lang w:val="ru-RU"/>
        </w:rPr>
        <w:t>»</w:t>
      </w:r>
      <w:r w:rsidR="008C7A93" w:rsidRPr="00DF1530">
        <w:rPr>
          <w:lang w:val="ru-RU"/>
        </w:rPr>
        <w:t xml:space="preserve"> </w:t>
      </w:r>
      <w:r w:rsidR="00C359CC" w:rsidRPr="00DF1530">
        <w:rPr>
          <w:lang w:val="ru-RU"/>
        </w:rPr>
        <w:t>соответствует «</w:t>
      </w:r>
      <w:r w:rsidR="008C7A93" w:rsidRPr="00DF1530">
        <w:rPr>
          <w:lang w:val="ru-RU"/>
        </w:rPr>
        <w:t>1-10</w:t>
      </w:r>
      <w:r w:rsidR="00C359CC" w:rsidRPr="00DF1530">
        <w:rPr>
          <w:lang w:val="ru-RU"/>
        </w:rPr>
        <w:t>»</w:t>
      </w:r>
      <w:r w:rsidR="008C7A93" w:rsidRPr="00DF1530">
        <w:rPr>
          <w:lang w:val="ru-RU"/>
        </w:rPr>
        <w:t xml:space="preserve"> </w:t>
      </w:r>
      <w:r w:rsidR="00C359CC" w:rsidRPr="00DF1530">
        <w:rPr>
          <w:lang w:val="ru-RU"/>
        </w:rPr>
        <w:t xml:space="preserve">для </w:t>
      </w:r>
      <w:r w:rsidR="00592D7B" w:rsidRPr="00DF1530">
        <w:rPr>
          <w:lang w:val="ru-RU"/>
        </w:rPr>
        <w:t>Мексик</w:t>
      </w:r>
      <w:r w:rsidR="00C359CC" w:rsidRPr="00DF1530">
        <w:rPr>
          <w:lang w:val="ru-RU"/>
        </w:rPr>
        <w:t>и</w:t>
      </w:r>
      <w:r w:rsidR="008C7A93" w:rsidRPr="00DF1530">
        <w:rPr>
          <w:lang w:val="ru-RU"/>
        </w:rPr>
        <w:t xml:space="preserve">; </w:t>
      </w:r>
      <w:r w:rsidR="00C359CC" w:rsidRPr="00DF1530">
        <w:rPr>
          <w:lang w:val="ru-RU"/>
        </w:rPr>
        <w:t>«</w:t>
      </w:r>
      <w:r w:rsidR="008C7A93" w:rsidRPr="00DF1530">
        <w:rPr>
          <w:lang w:val="ru-RU"/>
        </w:rPr>
        <w:t>1-19</w:t>
      </w:r>
      <w:r w:rsidR="00C359CC" w:rsidRPr="00DF1530">
        <w:rPr>
          <w:lang w:val="ru-RU"/>
        </w:rPr>
        <w:t>»</w:t>
      </w:r>
      <w:r w:rsidR="008C7A93" w:rsidRPr="00DF1530">
        <w:rPr>
          <w:lang w:val="ru-RU"/>
        </w:rPr>
        <w:t xml:space="preserve"> </w:t>
      </w:r>
      <w:r w:rsidR="00C359CC" w:rsidRPr="00DF1530">
        <w:rPr>
          <w:lang w:val="ru-RU"/>
        </w:rPr>
        <w:t>для Австралии и Турции</w:t>
      </w:r>
      <w:r w:rsidR="008C7A93" w:rsidRPr="00DF1530">
        <w:rPr>
          <w:lang w:val="ru-RU"/>
        </w:rPr>
        <w:t xml:space="preserve">; </w:t>
      </w:r>
      <w:r w:rsidR="00C359CC" w:rsidRPr="00DF1530">
        <w:rPr>
          <w:lang w:val="ru-RU"/>
        </w:rPr>
        <w:t>величина «</w:t>
      </w:r>
      <w:r w:rsidR="008C7A93" w:rsidRPr="00DF1530">
        <w:rPr>
          <w:lang w:val="ru-RU"/>
        </w:rPr>
        <w:t>10-19</w:t>
      </w:r>
      <w:r w:rsidR="00C359CC" w:rsidRPr="00DF1530">
        <w:rPr>
          <w:lang w:val="ru-RU"/>
        </w:rPr>
        <w:t>»</w:t>
      </w:r>
      <w:r w:rsidR="008C7A93" w:rsidRPr="00DF1530">
        <w:rPr>
          <w:lang w:val="ru-RU"/>
        </w:rPr>
        <w:t xml:space="preserve"> </w:t>
      </w:r>
      <w:r w:rsidR="00C359CC" w:rsidRPr="00DF1530">
        <w:rPr>
          <w:lang w:val="ru-RU"/>
        </w:rPr>
        <w:t>соответствует «</w:t>
      </w:r>
      <w:r w:rsidR="008C7A93" w:rsidRPr="00DF1530">
        <w:rPr>
          <w:lang w:val="ru-RU"/>
        </w:rPr>
        <w:t>11-50</w:t>
      </w:r>
      <w:r w:rsidR="00C359CC" w:rsidRPr="00DF1530">
        <w:rPr>
          <w:lang w:val="ru-RU"/>
        </w:rPr>
        <w:t>»</w:t>
      </w:r>
      <w:r w:rsidR="008C7A93" w:rsidRPr="00DF1530">
        <w:rPr>
          <w:lang w:val="ru-RU"/>
        </w:rPr>
        <w:t xml:space="preserve"> </w:t>
      </w:r>
      <w:r w:rsidR="00C359CC" w:rsidRPr="00DF1530">
        <w:rPr>
          <w:lang w:val="ru-RU"/>
        </w:rPr>
        <w:t xml:space="preserve">для </w:t>
      </w:r>
      <w:r w:rsidR="00592D7B" w:rsidRPr="00DF1530">
        <w:rPr>
          <w:lang w:val="ru-RU"/>
        </w:rPr>
        <w:t>Мексик</w:t>
      </w:r>
      <w:r w:rsidR="00C359CC" w:rsidRPr="00DF1530">
        <w:rPr>
          <w:lang w:val="ru-RU"/>
        </w:rPr>
        <w:t>и</w:t>
      </w:r>
      <w:r w:rsidR="008C7A93" w:rsidRPr="00DF1530">
        <w:rPr>
          <w:lang w:val="ru-RU"/>
        </w:rPr>
        <w:t xml:space="preserve">; </w:t>
      </w:r>
      <w:r w:rsidR="00692511" w:rsidRPr="00DF1530">
        <w:rPr>
          <w:lang w:val="ru-RU"/>
        </w:rPr>
        <w:t>величина «</w:t>
      </w:r>
      <w:r w:rsidR="008C7A93" w:rsidRPr="00DF1530">
        <w:rPr>
          <w:lang w:val="ru-RU"/>
        </w:rPr>
        <w:t>20-49</w:t>
      </w:r>
      <w:r w:rsidR="00692511" w:rsidRPr="00DF1530">
        <w:rPr>
          <w:lang w:val="ru-RU"/>
        </w:rPr>
        <w:t>»</w:t>
      </w:r>
      <w:r w:rsidR="008C7A93" w:rsidRPr="00DF1530">
        <w:rPr>
          <w:lang w:val="ru-RU"/>
        </w:rPr>
        <w:t xml:space="preserve"> </w:t>
      </w:r>
      <w:r w:rsidR="00692511" w:rsidRPr="00DF1530">
        <w:rPr>
          <w:lang w:val="ru-RU"/>
        </w:rPr>
        <w:t>соответствует «</w:t>
      </w:r>
      <w:r w:rsidR="008C7A93" w:rsidRPr="00DF1530">
        <w:rPr>
          <w:lang w:val="ru-RU"/>
        </w:rPr>
        <w:t>20-199</w:t>
      </w:r>
      <w:r w:rsidR="004F360C" w:rsidRPr="00DF1530">
        <w:rPr>
          <w:lang w:val="ru-RU"/>
        </w:rPr>
        <w:t>»</w:t>
      </w:r>
      <w:r w:rsidR="008C7A93" w:rsidRPr="00DF1530">
        <w:rPr>
          <w:lang w:val="ru-RU"/>
        </w:rPr>
        <w:t xml:space="preserve"> </w:t>
      </w:r>
      <w:r w:rsidR="00692511" w:rsidRPr="00DF1530">
        <w:rPr>
          <w:lang w:val="ru-RU"/>
        </w:rPr>
        <w:t xml:space="preserve">для </w:t>
      </w:r>
      <w:r w:rsidR="00C359CC" w:rsidRPr="00DF1530">
        <w:rPr>
          <w:lang w:val="ru-RU"/>
        </w:rPr>
        <w:t>Австрали</w:t>
      </w:r>
      <w:r w:rsidR="00692511" w:rsidRPr="00DF1530">
        <w:rPr>
          <w:lang w:val="ru-RU"/>
        </w:rPr>
        <w:t>и</w:t>
      </w:r>
      <w:r w:rsidR="008C7A93" w:rsidRPr="00DF1530">
        <w:rPr>
          <w:lang w:val="ru-RU"/>
        </w:rPr>
        <w:t xml:space="preserve"> </w:t>
      </w:r>
      <w:r w:rsidR="00692511" w:rsidRPr="00DF1530">
        <w:rPr>
          <w:lang w:val="ru-RU"/>
        </w:rPr>
        <w:t>и «</w:t>
      </w:r>
      <w:r w:rsidR="008C7A93" w:rsidRPr="00DF1530">
        <w:rPr>
          <w:lang w:val="ru-RU"/>
        </w:rPr>
        <w:t>20-99</w:t>
      </w:r>
      <w:r w:rsidR="00692511" w:rsidRPr="00DF1530">
        <w:rPr>
          <w:lang w:val="ru-RU"/>
        </w:rPr>
        <w:t>»</w:t>
      </w:r>
      <w:r w:rsidR="008C7A93" w:rsidRPr="00DF1530">
        <w:rPr>
          <w:lang w:val="ru-RU"/>
        </w:rPr>
        <w:t xml:space="preserve"> </w:t>
      </w:r>
      <w:r w:rsidR="00692511" w:rsidRPr="00DF1530">
        <w:rPr>
          <w:lang w:val="ru-RU"/>
        </w:rPr>
        <w:t>для Соедин</w:t>
      </w:r>
      <w:r w:rsidR="00BD465D" w:rsidRPr="00DF1530">
        <w:rPr>
          <w:lang w:val="ru-RU"/>
        </w:rPr>
        <w:t>е</w:t>
      </w:r>
      <w:r w:rsidR="00692511" w:rsidRPr="00DF1530">
        <w:rPr>
          <w:lang w:val="ru-RU"/>
        </w:rPr>
        <w:t>нных Штатов</w:t>
      </w:r>
      <w:r w:rsidR="008C7A93" w:rsidRPr="00DF1530">
        <w:rPr>
          <w:lang w:val="ru-RU"/>
        </w:rPr>
        <w:t xml:space="preserve">; </w:t>
      </w:r>
      <w:r w:rsidR="00692511" w:rsidRPr="00DF1530">
        <w:rPr>
          <w:lang w:val="ru-RU"/>
        </w:rPr>
        <w:t>величина «</w:t>
      </w:r>
      <w:r w:rsidR="008C7A93" w:rsidRPr="00DF1530">
        <w:rPr>
          <w:lang w:val="ru-RU"/>
        </w:rPr>
        <w:t>50-249</w:t>
      </w:r>
      <w:r w:rsidR="00692511" w:rsidRPr="00DF1530">
        <w:rPr>
          <w:lang w:val="ru-RU"/>
        </w:rPr>
        <w:t>»</w:t>
      </w:r>
      <w:r w:rsidR="008C7A93" w:rsidRPr="00DF1530">
        <w:rPr>
          <w:lang w:val="ru-RU"/>
        </w:rPr>
        <w:t xml:space="preserve"> </w:t>
      </w:r>
      <w:r w:rsidR="00692511" w:rsidRPr="00DF1530">
        <w:rPr>
          <w:lang w:val="ru-RU"/>
        </w:rPr>
        <w:t>соответствует «</w:t>
      </w:r>
      <w:r w:rsidR="008C7A93" w:rsidRPr="00DF1530">
        <w:rPr>
          <w:lang w:val="ru-RU"/>
        </w:rPr>
        <w:t>50-299</w:t>
      </w:r>
      <w:r w:rsidR="00692511" w:rsidRPr="00DF1530">
        <w:rPr>
          <w:lang w:val="ru-RU"/>
        </w:rPr>
        <w:t>»</w:t>
      </w:r>
      <w:r w:rsidR="008C7A93" w:rsidRPr="00DF1530">
        <w:rPr>
          <w:lang w:val="ru-RU"/>
        </w:rPr>
        <w:t xml:space="preserve"> </w:t>
      </w:r>
      <w:r w:rsidR="00692511" w:rsidRPr="00DF1530">
        <w:rPr>
          <w:lang w:val="ru-RU"/>
        </w:rPr>
        <w:t>для Японии</w:t>
      </w:r>
      <w:r w:rsidR="008C7A93" w:rsidRPr="00DF1530">
        <w:rPr>
          <w:lang w:val="ru-RU"/>
        </w:rPr>
        <w:t xml:space="preserve">, </w:t>
      </w:r>
      <w:r w:rsidR="00692511" w:rsidRPr="00DF1530">
        <w:rPr>
          <w:lang w:val="ru-RU"/>
        </w:rPr>
        <w:t>«</w:t>
      </w:r>
      <w:r w:rsidR="008C7A93" w:rsidRPr="00DF1530">
        <w:rPr>
          <w:lang w:val="ru-RU"/>
        </w:rPr>
        <w:t>51-250</w:t>
      </w:r>
      <w:r w:rsidR="00692511" w:rsidRPr="00DF1530">
        <w:rPr>
          <w:lang w:val="ru-RU"/>
        </w:rPr>
        <w:t>»</w:t>
      </w:r>
      <w:r w:rsidR="008C7A93" w:rsidRPr="00DF1530">
        <w:rPr>
          <w:lang w:val="ru-RU"/>
        </w:rPr>
        <w:t xml:space="preserve"> </w:t>
      </w:r>
      <w:r w:rsidR="00692511" w:rsidRPr="00DF1530">
        <w:rPr>
          <w:lang w:val="ru-RU"/>
        </w:rPr>
        <w:t xml:space="preserve">для </w:t>
      </w:r>
      <w:r w:rsidR="00592D7B" w:rsidRPr="00DF1530">
        <w:rPr>
          <w:lang w:val="ru-RU"/>
        </w:rPr>
        <w:t>Мексик</w:t>
      </w:r>
      <w:r w:rsidR="00692511" w:rsidRPr="00DF1530">
        <w:rPr>
          <w:lang w:val="ru-RU"/>
        </w:rPr>
        <w:t>и и «</w:t>
      </w:r>
      <w:r w:rsidR="008C7A93" w:rsidRPr="00DF1530">
        <w:rPr>
          <w:lang w:val="ru-RU"/>
        </w:rPr>
        <w:t>100-499</w:t>
      </w:r>
      <w:r w:rsidR="00692511" w:rsidRPr="00DF1530">
        <w:rPr>
          <w:lang w:val="ru-RU"/>
        </w:rPr>
        <w:t>»</w:t>
      </w:r>
      <w:r w:rsidR="008C7A93" w:rsidRPr="00DF1530">
        <w:rPr>
          <w:lang w:val="ru-RU"/>
        </w:rPr>
        <w:t xml:space="preserve"> </w:t>
      </w:r>
      <w:r w:rsidR="00692511" w:rsidRPr="00DF1530">
        <w:rPr>
          <w:lang w:val="ru-RU"/>
        </w:rPr>
        <w:t>для Соедин</w:t>
      </w:r>
      <w:r w:rsidR="00BD465D" w:rsidRPr="00DF1530">
        <w:rPr>
          <w:lang w:val="ru-RU"/>
        </w:rPr>
        <w:t>е</w:t>
      </w:r>
      <w:r w:rsidR="00692511" w:rsidRPr="00DF1530">
        <w:rPr>
          <w:lang w:val="ru-RU"/>
        </w:rPr>
        <w:t>нных Штатов</w:t>
      </w:r>
      <w:r w:rsidR="008C7A93" w:rsidRPr="00DF1530">
        <w:rPr>
          <w:lang w:val="ru-RU"/>
        </w:rPr>
        <w:t xml:space="preserve">; </w:t>
      </w:r>
      <w:r w:rsidR="00692511" w:rsidRPr="00DF1530">
        <w:rPr>
          <w:lang w:val="ru-RU"/>
        </w:rPr>
        <w:t>наконец</w:t>
      </w:r>
      <w:r w:rsidR="008C7A93" w:rsidRPr="00DF1530">
        <w:rPr>
          <w:lang w:val="ru-RU"/>
        </w:rPr>
        <w:t xml:space="preserve">, </w:t>
      </w:r>
      <w:r w:rsidR="00692511" w:rsidRPr="00DF1530">
        <w:rPr>
          <w:lang w:val="ru-RU"/>
        </w:rPr>
        <w:t>величина «</w:t>
      </w:r>
      <w:r w:rsidR="008C7A93" w:rsidRPr="00DF1530">
        <w:rPr>
          <w:lang w:val="ru-RU"/>
        </w:rPr>
        <w:t>250+</w:t>
      </w:r>
      <w:r w:rsidR="00692511" w:rsidRPr="00DF1530">
        <w:rPr>
          <w:lang w:val="ru-RU"/>
        </w:rPr>
        <w:t>»</w:t>
      </w:r>
      <w:r w:rsidR="008C7A93" w:rsidRPr="00DF1530">
        <w:rPr>
          <w:lang w:val="ru-RU"/>
        </w:rPr>
        <w:t xml:space="preserve"> </w:t>
      </w:r>
      <w:r w:rsidR="00692511" w:rsidRPr="00DF1530">
        <w:rPr>
          <w:lang w:val="ru-RU"/>
        </w:rPr>
        <w:t>соответствует «</w:t>
      </w:r>
      <w:r w:rsidR="008C7A93" w:rsidRPr="00DF1530">
        <w:rPr>
          <w:lang w:val="ru-RU"/>
        </w:rPr>
        <w:t>200+</w:t>
      </w:r>
      <w:r w:rsidR="00692511" w:rsidRPr="00DF1530">
        <w:rPr>
          <w:lang w:val="ru-RU"/>
        </w:rPr>
        <w:t>»</w:t>
      </w:r>
      <w:r w:rsidR="008C7A93" w:rsidRPr="00DF1530">
        <w:rPr>
          <w:lang w:val="ru-RU"/>
        </w:rPr>
        <w:t xml:space="preserve"> </w:t>
      </w:r>
      <w:r w:rsidR="00692511" w:rsidRPr="00DF1530">
        <w:rPr>
          <w:lang w:val="ru-RU"/>
        </w:rPr>
        <w:t xml:space="preserve">для </w:t>
      </w:r>
      <w:r w:rsidR="00C359CC" w:rsidRPr="00DF1530">
        <w:rPr>
          <w:lang w:val="ru-RU"/>
        </w:rPr>
        <w:t>Австрали</w:t>
      </w:r>
      <w:r w:rsidR="00692511" w:rsidRPr="00DF1530">
        <w:rPr>
          <w:lang w:val="ru-RU"/>
        </w:rPr>
        <w:t>и</w:t>
      </w:r>
      <w:r w:rsidR="008C7A93" w:rsidRPr="00DF1530">
        <w:rPr>
          <w:lang w:val="ru-RU"/>
        </w:rPr>
        <w:t xml:space="preserve">, </w:t>
      </w:r>
      <w:r w:rsidR="00692511" w:rsidRPr="00DF1530">
        <w:rPr>
          <w:lang w:val="ru-RU"/>
        </w:rPr>
        <w:t>«</w:t>
      </w:r>
      <w:r w:rsidR="008C7A93" w:rsidRPr="00DF1530">
        <w:rPr>
          <w:lang w:val="ru-RU"/>
        </w:rPr>
        <w:t>300+</w:t>
      </w:r>
      <w:r w:rsidR="00692511" w:rsidRPr="00DF1530">
        <w:rPr>
          <w:lang w:val="ru-RU"/>
        </w:rPr>
        <w:t>»</w:t>
      </w:r>
      <w:r w:rsidR="008C7A93" w:rsidRPr="00DF1530">
        <w:rPr>
          <w:lang w:val="ru-RU"/>
        </w:rPr>
        <w:t xml:space="preserve"> </w:t>
      </w:r>
      <w:r w:rsidR="00692511" w:rsidRPr="00DF1530">
        <w:rPr>
          <w:lang w:val="ru-RU"/>
        </w:rPr>
        <w:t>для Японии</w:t>
      </w:r>
      <w:r w:rsidR="008C7A93" w:rsidRPr="00DF1530">
        <w:rPr>
          <w:lang w:val="ru-RU"/>
        </w:rPr>
        <w:t xml:space="preserve">, </w:t>
      </w:r>
      <w:r w:rsidR="00692511" w:rsidRPr="00DF1530">
        <w:rPr>
          <w:lang w:val="ru-RU"/>
        </w:rPr>
        <w:t>«</w:t>
      </w:r>
      <w:r w:rsidR="008C7A93" w:rsidRPr="00DF1530">
        <w:rPr>
          <w:lang w:val="ru-RU"/>
        </w:rPr>
        <w:t>251+</w:t>
      </w:r>
      <w:r w:rsidR="00692511" w:rsidRPr="00DF1530">
        <w:rPr>
          <w:lang w:val="ru-RU"/>
        </w:rPr>
        <w:t>»</w:t>
      </w:r>
      <w:r w:rsidR="008C7A93" w:rsidRPr="00DF1530">
        <w:rPr>
          <w:lang w:val="ru-RU"/>
        </w:rPr>
        <w:t xml:space="preserve"> </w:t>
      </w:r>
      <w:r w:rsidR="00692511" w:rsidRPr="00DF1530">
        <w:rPr>
          <w:lang w:val="ru-RU"/>
        </w:rPr>
        <w:t xml:space="preserve">для </w:t>
      </w:r>
      <w:r w:rsidR="00592D7B" w:rsidRPr="00DF1530">
        <w:rPr>
          <w:lang w:val="ru-RU"/>
        </w:rPr>
        <w:t>Мексик</w:t>
      </w:r>
      <w:r w:rsidR="00692511" w:rsidRPr="00DF1530">
        <w:rPr>
          <w:lang w:val="ru-RU"/>
        </w:rPr>
        <w:t>и и «</w:t>
      </w:r>
      <w:r w:rsidR="008C7A93" w:rsidRPr="00DF1530">
        <w:rPr>
          <w:lang w:val="ru-RU"/>
        </w:rPr>
        <w:t>500+</w:t>
      </w:r>
      <w:r w:rsidR="00692511" w:rsidRPr="00DF1530">
        <w:rPr>
          <w:lang w:val="ru-RU"/>
        </w:rPr>
        <w:t>»</w:t>
      </w:r>
      <w:r w:rsidR="008C7A93" w:rsidRPr="00DF1530">
        <w:rPr>
          <w:lang w:val="ru-RU"/>
        </w:rPr>
        <w:t xml:space="preserve"> </w:t>
      </w:r>
      <w:r w:rsidR="00692511" w:rsidRPr="00DF1530">
        <w:rPr>
          <w:lang w:val="ru-RU"/>
        </w:rPr>
        <w:t>для Соедин</w:t>
      </w:r>
      <w:r w:rsidR="00BD465D" w:rsidRPr="00DF1530">
        <w:rPr>
          <w:lang w:val="ru-RU"/>
        </w:rPr>
        <w:t>е</w:t>
      </w:r>
      <w:r w:rsidR="00692511" w:rsidRPr="00DF1530">
        <w:rPr>
          <w:lang w:val="ru-RU"/>
        </w:rPr>
        <w:t>нных Штатов</w:t>
      </w:r>
      <w:r w:rsidR="008C7A93" w:rsidRPr="00DF1530">
        <w:rPr>
          <w:lang w:val="ru-RU"/>
        </w:rPr>
        <w:t>.</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347E3A" w:rsidRPr="00BA51F1">
        <w:rPr>
          <w:lang w:val="en-US"/>
        </w:rPr>
        <w:t>Entrepreneurship at a Glance</w:t>
      </w:r>
      <w:r w:rsidR="00EC03E6" w:rsidRPr="00BA51F1">
        <w:rPr>
          <w:lang w:val="en-US"/>
        </w:rPr>
        <w:t xml:space="preserve">, </w:t>
      </w:r>
      <w:r w:rsidR="008C7A93" w:rsidRPr="00BA51F1">
        <w:rPr>
          <w:lang w:val="en-US"/>
        </w:rPr>
        <w:t>2014</w:t>
      </w:r>
      <w:r w:rsidR="00EC03E6" w:rsidRPr="00BA51F1">
        <w:rPr>
          <w:lang w:val="en-US"/>
        </w:rPr>
        <w:t xml:space="preserve"> </w:t>
      </w:r>
      <w:proofErr w:type="gramStart"/>
      <w:r w:rsidR="00EC03E6" w:rsidRPr="00DF1530">
        <w:rPr>
          <w:lang w:val="ru-RU"/>
        </w:rPr>
        <w:t>г</w:t>
      </w:r>
      <w:r w:rsidR="00EC03E6" w:rsidRPr="00BA51F1">
        <w:rPr>
          <w:lang w:val="en-US"/>
        </w:rPr>
        <w:t>.</w:t>
      </w:r>
      <w:r w:rsidR="008C7A93" w:rsidRPr="00BA51F1">
        <w:rPr>
          <w:lang w:val="en-US"/>
        </w:rPr>
        <w:t>,</w:t>
      </w:r>
      <w:proofErr w:type="gramEnd"/>
      <w:r w:rsidR="008C7A93" w:rsidRPr="00BA51F1">
        <w:rPr>
          <w:lang w:val="en-US"/>
        </w:rPr>
        <w:t xml:space="preserve"> </w:t>
      </w:r>
      <w:r w:rsidR="00EC03E6" w:rsidRPr="00BA51F1">
        <w:rPr>
          <w:lang w:val="en-US"/>
        </w:rPr>
        <w:t>OECD</w:t>
      </w:r>
      <w:r w:rsidR="004F360C" w:rsidRPr="00BA51F1">
        <w:rPr>
          <w:lang w:val="en-US"/>
        </w:rPr>
        <w:t xml:space="preserve"> Publishing</w:t>
      </w:r>
      <w:r w:rsidR="008C7A93" w:rsidRPr="00BA51F1">
        <w:rPr>
          <w:lang w:val="en-US"/>
        </w:rPr>
        <w:t>. http://dx.doi.org/10.1787/entrepreneur_aag-2014-en.</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C7A93" w:rsidRPr="00DF1530">
        <w:rPr>
          <w:lang w:val="ru-RU"/>
        </w:rPr>
        <w:t xml:space="preserve"> </w:t>
      </w:r>
      <w:r w:rsidR="004F360C" w:rsidRPr="00DF1530">
        <w:rPr>
          <w:lang w:val="ru-RU"/>
        </w:rPr>
        <w:t>Как показано на этих рисунках</w:t>
      </w:r>
      <w:r w:rsidR="008C7A93" w:rsidRPr="00DF1530">
        <w:rPr>
          <w:lang w:val="ru-RU"/>
        </w:rPr>
        <w:t xml:space="preserve">, </w:t>
      </w:r>
      <w:r w:rsidR="004F360C" w:rsidRPr="00DF1530">
        <w:rPr>
          <w:lang w:val="ru-RU"/>
        </w:rPr>
        <w:t>Российская</w:t>
      </w:r>
      <w:r w:rsidR="005E53F2" w:rsidRPr="00DF1530">
        <w:rPr>
          <w:lang w:val="ru-RU"/>
        </w:rPr>
        <w:t xml:space="preserve"> Федерация</w:t>
      </w:r>
      <w:r w:rsidR="008C7A93" w:rsidRPr="00DF1530">
        <w:rPr>
          <w:lang w:val="ru-RU"/>
        </w:rPr>
        <w:t xml:space="preserve"> </w:t>
      </w:r>
      <w:r w:rsidR="003F13A5" w:rsidRPr="00DF1530">
        <w:rPr>
          <w:lang w:val="ru-RU"/>
        </w:rPr>
        <w:t xml:space="preserve">значительно отстает в </w:t>
      </w:r>
      <w:r w:rsidR="00834072" w:rsidRPr="00DF1530">
        <w:rPr>
          <w:lang w:val="ru-RU"/>
        </w:rPr>
        <w:t>деятельност</w:t>
      </w:r>
      <w:r w:rsidR="003F13A5" w:rsidRPr="00DF1530">
        <w:rPr>
          <w:lang w:val="ru-RU"/>
        </w:rPr>
        <w:t>и МСП</w:t>
      </w:r>
      <w:r w:rsidR="008C7A93" w:rsidRPr="00DF1530">
        <w:rPr>
          <w:lang w:val="ru-RU"/>
        </w:rPr>
        <w:t xml:space="preserve"> </w:t>
      </w:r>
      <w:r w:rsidR="003F13A5" w:rsidRPr="00DF1530">
        <w:rPr>
          <w:lang w:val="ru-RU"/>
        </w:rPr>
        <w:t xml:space="preserve">от других стран </w:t>
      </w:r>
      <w:r w:rsidR="00F736B7" w:rsidRPr="00DF1530">
        <w:rPr>
          <w:lang w:val="ru-RU"/>
        </w:rPr>
        <w:t xml:space="preserve">по </w:t>
      </w:r>
      <w:r w:rsidR="003F13A5" w:rsidRPr="00DF1530">
        <w:rPr>
          <w:lang w:val="ru-RU"/>
        </w:rPr>
        <w:t xml:space="preserve">количеству </w:t>
      </w:r>
      <w:r w:rsidR="00F736B7" w:rsidRPr="00DF1530">
        <w:rPr>
          <w:lang w:val="ru-RU"/>
        </w:rPr>
        <w:t>МСП</w:t>
      </w:r>
      <w:r w:rsidR="008C7A93" w:rsidRPr="00DF1530">
        <w:rPr>
          <w:lang w:val="ru-RU"/>
        </w:rPr>
        <w:t xml:space="preserve"> </w:t>
      </w:r>
      <w:r w:rsidR="003F13A5" w:rsidRPr="00DF1530">
        <w:rPr>
          <w:lang w:val="ru-RU"/>
        </w:rPr>
        <w:t>и занятости на этих предприятиях</w:t>
      </w:r>
      <w:r w:rsidR="008C7A93" w:rsidRPr="00DF1530">
        <w:rPr>
          <w:lang w:val="ru-RU"/>
        </w:rPr>
        <w:t xml:space="preserve">. </w:t>
      </w:r>
      <w:r w:rsidR="003F13A5" w:rsidRPr="00DF1530">
        <w:rPr>
          <w:lang w:val="ru-RU"/>
        </w:rPr>
        <w:t xml:space="preserve">Активные </w:t>
      </w:r>
      <w:r w:rsidR="005E795B" w:rsidRPr="00DF1530">
        <w:rPr>
          <w:lang w:val="ru-RU"/>
        </w:rPr>
        <w:t xml:space="preserve">меры </w:t>
      </w:r>
      <w:r w:rsidR="003F13A5" w:rsidRPr="00DF1530">
        <w:rPr>
          <w:lang w:val="ru-RU"/>
        </w:rPr>
        <w:t>для преодоления этого отставания являются важной задачей для российской экономики</w:t>
      </w:r>
      <w:r w:rsidR="005E795B" w:rsidRPr="00DF1530">
        <w:rPr>
          <w:lang w:val="ru-RU"/>
        </w:rPr>
        <w:t>. Е</w:t>
      </w:r>
      <w:r w:rsidR="003F13A5" w:rsidRPr="00DF1530">
        <w:rPr>
          <w:lang w:val="ru-RU"/>
        </w:rPr>
        <w:t xml:space="preserve">сли они увенчаются успехом, </w:t>
      </w:r>
      <w:r w:rsidR="005E795B" w:rsidRPr="00DF1530">
        <w:rPr>
          <w:lang w:val="ru-RU"/>
        </w:rPr>
        <w:t xml:space="preserve">они </w:t>
      </w:r>
      <w:r w:rsidR="003F13A5" w:rsidRPr="00DF1530">
        <w:rPr>
          <w:lang w:val="ru-RU"/>
        </w:rPr>
        <w:t>приведут к существенному росту занятости и доходов в стране</w:t>
      </w:r>
      <w:r w:rsidR="008C7A93" w:rsidRPr="00DF1530">
        <w:rPr>
          <w:lang w:val="ru-RU"/>
        </w:rPr>
        <w:t xml:space="preserve">. </w:t>
      </w:r>
    </w:p>
    <w:p w:rsidR="008C7A93" w:rsidRPr="00DF1530" w:rsidRDefault="003F13A5" w:rsidP="008C7A93">
      <w:pPr>
        <w:pStyle w:val="31"/>
        <w:rPr>
          <w:lang w:val="ru-RU"/>
        </w:rPr>
      </w:pPr>
      <w:r w:rsidRPr="00DF1530">
        <w:rPr>
          <w:lang w:val="ru-RU"/>
        </w:rPr>
        <w:t>Низкий уровень самостоятельной занятости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В Российской</w:t>
      </w:r>
      <w:r w:rsidR="005E53F2" w:rsidRPr="00DF1530">
        <w:rPr>
          <w:lang w:val="ru-RU"/>
        </w:rPr>
        <w:t xml:space="preserve"> Федераци</w:t>
      </w:r>
      <w:r w:rsidR="003F13A5" w:rsidRPr="00DF1530">
        <w:rPr>
          <w:lang w:val="ru-RU"/>
        </w:rPr>
        <w:t>и</w:t>
      </w:r>
      <w:r w:rsidR="008C7A93" w:rsidRPr="00DF1530">
        <w:rPr>
          <w:lang w:val="ru-RU"/>
        </w:rPr>
        <w:t xml:space="preserve"> </w:t>
      </w:r>
      <w:r w:rsidR="00592D7B" w:rsidRPr="00DF1530">
        <w:rPr>
          <w:lang w:val="ru-RU"/>
        </w:rPr>
        <w:t>также</w:t>
      </w:r>
      <w:r w:rsidR="008C7A93" w:rsidRPr="00DF1530">
        <w:rPr>
          <w:lang w:val="ru-RU"/>
        </w:rPr>
        <w:t xml:space="preserve"> </w:t>
      </w:r>
      <w:r w:rsidR="003F13A5" w:rsidRPr="00DF1530">
        <w:rPr>
          <w:lang w:val="ru-RU"/>
        </w:rPr>
        <w:t>очень низкий уровень самостоятельной занятости</w:t>
      </w:r>
      <w:r w:rsidR="008C7A93" w:rsidRPr="00DF1530">
        <w:rPr>
          <w:lang w:val="ru-RU"/>
        </w:rPr>
        <w:t xml:space="preserve">. </w:t>
      </w:r>
      <w:r w:rsidR="003F13A5" w:rsidRPr="00DF1530">
        <w:rPr>
          <w:lang w:val="ru-RU"/>
        </w:rPr>
        <w:t xml:space="preserve">Лишь </w:t>
      </w:r>
      <w:r w:rsidR="008C7A93" w:rsidRPr="00DF1530">
        <w:rPr>
          <w:lang w:val="ru-RU"/>
        </w:rPr>
        <w:t>6</w:t>
      </w:r>
      <w:r w:rsidR="003F13A5" w:rsidRPr="00DF1530">
        <w:rPr>
          <w:lang w:val="ru-RU"/>
        </w:rPr>
        <w:t>,</w:t>
      </w:r>
      <w:r w:rsidR="008C7A93" w:rsidRPr="00DF1530">
        <w:rPr>
          <w:lang w:val="ru-RU"/>
        </w:rPr>
        <w:t xml:space="preserve">9% </w:t>
      </w:r>
      <w:r w:rsidR="003F13A5" w:rsidRPr="00DF1530">
        <w:rPr>
          <w:lang w:val="ru-RU"/>
        </w:rPr>
        <w:t xml:space="preserve">всех работников были официально </w:t>
      </w:r>
      <w:r w:rsidR="00834072" w:rsidRPr="00DF1530">
        <w:rPr>
          <w:lang w:val="ru-RU"/>
        </w:rPr>
        <w:t>зарегистрированы</w:t>
      </w:r>
      <w:r w:rsidR="008C7A93" w:rsidRPr="00DF1530">
        <w:rPr>
          <w:lang w:val="ru-RU"/>
        </w:rPr>
        <w:t xml:space="preserve"> </w:t>
      </w:r>
      <w:r w:rsidR="003F13A5" w:rsidRPr="00DF1530">
        <w:rPr>
          <w:lang w:val="ru-RU"/>
        </w:rPr>
        <w:t xml:space="preserve">в 2012 году в качестве лиц, занимающихся </w:t>
      </w:r>
      <w:r w:rsidR="00E359BA" w:rsidRPr="00DF1530">
        <w:rPr>
          <w:lang w:val="ru-RU"/>
        </w:rPr>
        <w:t>индивидуальной трудовой и предпринимательской</w:t>
      </w:r>
      <w:r w:rsidR="003F13A5" w:rsidRPr="00DF1530">
        <w:rPr>
          <w:lang w:val="ru-RU"/>
        </w:rPr>
        <w:t xml:space="preserve"> деятельностью </w:t>
      </w:r>
      <w:r w:rsidR="00834072" w:rsidRPr="00DF1530">
        <w:rPr>
          <w:lang w:val="ru-RU"/>
        </w:rPr>
        <w:t>в Российской Федерации</w:t>
      </w:r>
      <w:r w:rsidR="008C7A93" w:rsidRPr="00DF1530">
        <w:rPr>
          <w:lang w:val="ru-RU"/>
        </w:rPr>
        <w:t xml:space="preserve">, </w:t>
      </w:r>
      <w:r w:rsidR="003F13A5" w:rsidRPr="00DF1530">
        <w:rPr>
          <w:lang w:val="ru-RU"/>
        </w:rPr>
        <w:t xml:space="preserve">тогда как средний показатель по всем странам </w:t>
      </w:r>
      <w:r w:rsidR="005E53F2" w:rsidRPr="00DF1530">
        <w:rPr>
          <w:lang w:val="ru-RU"/>
        </w:rPr>
        <w:t>ОЭСР</w:t>
      </w:r>
      <w:r w:rsidR="008C7A93" w:rsidRPr="00DF1530">
        <w:rPr>
          <w:lang w:val="ru-RU"/>
        </w:rPr>
        <w:t xml:space="preserve"> </w:t>
      </w:r>
      <w:r w:rsidR="003F13A5" w:rsidRPr="00DF1530">
        <w:rPr>
          <w:lang w:val="ru-RU"/>
        </w:rPr>
        <w:t xml:space="preserve">составляет </w:t>
      </w:r>
      <w:r w:rsidR="008C7A93" w:rsidRPr="00DF1530">
        <w:rPr>
          <w:lang w:val="ru-RU"/>
        </w:rPr>
        <w:t>17</w:t>
      </w:r>
      <w:r w:rsidR="00F736B7" w:rsidRPr="00DF1530">
        <w:rPr>
          <w:lang w:val="ru-RU"/>
        </w:rPr>
        <w:t>,0%</w:t>
      </w:r>
      <w:r w:rsidR="008C7A93" w:rsidRPr="00DF1530">
        <w:rPr>
          <w:lang w:val="ru-RU"/>
        </w:rPr>
        <w:t xml:space="preserve"> (</w:t>
      </w:r>
      <w:r w:rsidR="00592D7B" w:rsidRPr="00DF1530">
        <w:rPr>
          <w:lang w:val="ru-RU"/>
        </w:rPr>
        <w:t>Рисунок</w:t>
      </w:r>
      <w:r w:rsidR="008C7A93" w:rsidRPr="00DF1530">
        <w:rPr>
          <w:lang w:val="ru-RU"/>
        </w:rPr>
        <w:t xml:space="preserve"> </w:t>
      </w:r>
      <w:r w:rsidR="008C7A93" w:rsidRPr="00DF1530">
        <w:rPr>
          <w:lang w:val="ru-RU"/>
        </w:rPr>
        <w:lastRenderedPageBreak/>
        <w:t xml:space="preserve">1.3). </w:t>
      </w:r>
      <w:r w:rsidR="003F13A5" w:rsidRPr="00DF1530">
        <w:rPr>
          <w:lang w:val="ru-RU"/>
        </w:rPr>
        <w:t>Кроме того</w:t>
      </w:r>
      <w:r w:rsidR="008C7A93" w:rsidRPr="00DF1530">
        <w:rPr>
          <w:lang w:val="ru-RU"/>
        </w:rPr>
        <w:t xml:space="preserve">, </w:t>
      </w:r>
      <w:r w:rsidR="003F13A5" w:rsidRPr="00DF1530">
        <w:rPr>
          <w:lang w:val="ru-RU"/>
        </w:rPr>
        <w:t>пропорциональная часть самостоятельной занятости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7C58BC" w:rsidRPr="00DF1530">
        <w:rPr>
          <w:lang w:val="ru-RU"/>
        </w:rPr>
        <w:t xml:space="preserve">снизилась </w:t>
      </w:r>
      <w:r w:rsidR="003F13A5" w:rsidRPr="00DF1530">
        <w:rPr>
          <w:lang w:val="ru-RU"/>
        </w:rPr>
        <w:t xml:space="preserve">в период с </w:t>
      </w:r>
      <w:r w:rsidR="008C7A93" w:rsidRPr="00DF1530">
        <w:rPr>
          <w:lang w:val="ru-RU"/>
        </w:rPr>
        <w:t xml:space="preserve">2000 </w:t>
      </w:r>
      <w:r w:rsidR="003F13A5" w:rsidRPr="00DF1530">
        <w:rPr>
          <w:lang w:val="ru-RU"/>
        </w:rPr>
        <w:t xml:space="preserve">по </w:t>
      </w:r>
      <w:r w:rsidR="008C7A93" w:rsidRPr="00DF1530">
        <w:rPr>
          <w:lang w:val="ru-RU"/>
        </w:rPr>
        <w:t>2012</w:t>
      </w:r>
      <w:r w:rsidR="003F13A5" w:rsidRPr="00DF1530">
        <w:rPr>
          <w:lang w:val="ru-RU"/>
        </w:rPr>
        <w:t xml:space="preserve"> гг</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1.3.</w:t>
      </w:r>
      <w:r w:rsidR="008C7A93" w:rsidRPr="00DF1530">
        <w:rPr>
          <w:lang w:val="ru-RU"/>
        </w:rPr>
        <w:tab/>
      </w:r>
      <w:r w:rsidR="00E359BA" w:rsidRPr="00DF1530">
        <w:rPr>
          <w:lang w:val="ru-RU"/>
        </w:rPr>
        <w:t>Пропорциональная часть</w:t>
      </w:r>
      <w:r w:rsidR="008C7A93" w:rsidRPr="00DF1530">
        <w:rPr>
          <w:lang w:val="ru-RU"/>
        </w:rPr>
        <w:t xml:space="preserve"> </w:t>
      </w:r>
      <w:r w:rsidR="003F13A5" w:rsidRPr="00DF1530">
        <w:rPr>
          <w:lang w:val="ru-RU"/>
        </w:rPr>
        <w:t>самостоятельн</w:t>
      </w:r>
      <w:r w:rsidR="00E359BA" w:rsidRPr="00DF1530">
        <w:rPr>
          <w:lang w:val="ru-RU"/>
        </w:rPr>
        <w:t>ой</w:t>
      </w:r>
      <w:r w:rsidR="003F13A5" w:rsidRPr="00DF1530">
        <w:rPr>
          <w:lang w:val="ru-RU"/>
        </w:rPr>
        <w:t xml:space="preserve"> занятост</w:t>
      </w:r>
      <w:r w:rsidR="00E359BA" w:rsidRPr="00DF1530">
        <w:rPr>
          <w:lang w:val="ru-RU"/>
        </w:rPr>
        <w:t>и</w:t>
      </w:r>
      <w:r w:rsidR="008C7A93" w:rsidRPr="00DF1530">
        <w:rPr>
          <w:lang w:val="ru-RU"/>
        </w:rPr>
        <w:t xml:space="preserve"> </w:t>
      </w:r>
      <w:r w:rsidR="00E359BA" w:rsidRPr="00DF1530">
        <w:rPr>
          <w:lang w:val="ru-RU"/>
        </w:rPr>
        <w:t xml:space="preserve">в общей занятости </w:t>
      </w:r>
      <w:r w:rsidR="009030BD" w:rsidRPr="00DF1530">
        <w:rPr>
          <w:lang w:val="ru-RU"/>
        </w:rPr>
        <w:fldChar w:fldCharType="begin"/>
      </w:r>
      <w:r w:rsidR="008C7A93" w:rsidRPr="00DF1530">
        <w:rPr>
          <w:lang w:val="ru-RU"/>
        </w:rPr>
        <w:instrText xml:space="preserve"> TC \f f \l 2 "</w:instrText>
      </w:r>
      <w:bookmarkStart w:id="33" w:name="_Toc411604103"/>
      <w:r w:rsidR="008C7A93" w:rsidRPr="00DF1530">
        <w:rPr>
          <w:lang w:val="ru-RU"/>
        </w:rPr>
        <w:instrText>Figure 1.3.</w:instrText>
      </w:r>
      <w:r w:rsidR="008C7A93" w:rsidRPr="00DF1530">
        <w:rPr>
          <w:lang w:val="ru-RU"/>
        </w:rPr>
        <w:tab/>
        <w:instrText>Share of self-employment in total employment</w:instrText>
      </w:r>
      <w:bookmarkEnd w:id="33"/>
      <w:r w:rsidR="008C7A93" w:rsidRPr="00DF1530">
        <w:rPr>
          <w:lang w:val="ru-RU"/>
        </w:rPr>
        <w:instrText xml:space="preserve">"  </w:instrText>
      </w:r>
      <w:r w:rsidR="009030BD" w:rsidRPr="00DF1530">
        <w:rPr>
          <w:lang w:val="ru-RU"/>
        </w:rPr>
        <w:fldChar w:fldCharType="end"/>
      </w:r>
    </w:p>
    <w:p w:rsidR="008C7A93" w:rsidRPr="00DF1530" w:rsidRDefault="00E359BA" w:rsidP="008C7A93">
      <w:pPr>
        <w:pStyle w:val="FigureSub-title"/>
        <w:rPr>
          <w:lang w:val="ru-RU"/>
        </w:rPr>
      </w:pPr>
      <w:r w:rsidRPr="00DF1530">
        <w:rPr>
          <w:lang w:val="ru-RU"/>
        </w:rPr>
        <w:t>Процентные величины</w:t>
      </w:r>
      <w:r w:rsidR="008C7A93" w:rsidRPr="00DF1530">
        <w:rPr>
          <w:lang w:val="ru-RU"/>
        </w:rPr>
        <w:t xml:space="preserve">, 2012 </w:t>
      </w:r>
      <w:r w:rsidRPr="00DF1530">
        <w:rPr>
          <w:lang w:val="ru-RU"/>
        </w:rPr>
        <w:t xml:space="preserve">и </w:t>
      </w:r>
      <w:r w:rsidR="008C7A93" w:rsidRPr="00DF1530">
        <w:rPr>
          <w:lang w:val="ru-RU"/>
        </w:rPr>
        <w:t>2000</w:t>
      </w:r>
      <w:r w:rsidRPr="00DF1530">
        <w:rPr>
          <w:lang w:val="ru-RU"/>
        </w:rPr>
        <w:t xml:space="preserve"> гг.</w:t>
      </w:r>
    </w:p>
    <w:p w:rsidR="008C7A93" w:rsidRPr="00DF1530" w:rsidRDefault="008C7A93" w:rsidP="008C7A93">
      <w:pPr>
        <w:pStyle w:val="Graphic"/>
        <w:keepNext/>
        <w:keepLines/>
        <w:rPr>
          <w:szCs w:val="24"/>
          <w:lang w:val="ru-RU"/>
        </w:rPr>
      </w:pPr>
      <w:r w:rsidRPr="00DF1530">
        <w:rPr>
          <w:noProof/>
          <w:lang w:val="ru-RU" w:eastAsia="ru-RU"/>
        </w:rPr>
        <w:drawing>
          <wp:inline distT="0" distB="0" distL="0" distR="0">
            <wp:extent cx="5943600" cy="3531870"/>
            <wp:effectExtent l="0" t="0" r="19050" b="1143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7A93" w:rsidRPr="00DF1530" w:rsidRDefault="00DD2995" w:rsidP="008C7A93">
      <w:pPr>
        <w:pStyle w:val="SourceDescription"/>
        <w:rPr>
          <w:lang w:val="ru-RU"/>
        </w:rPr>
      </w:pPr>
      <w:r w:rsidRPr="00DF1530">
        <w:rPr>
          <w:lang w:val="ru-RU"/>
        </w:rPr>
        <w:t>Примечание:</w:t>
      </w:r>
      <w:r w:rsidR="008C7A93" w:rsidRPr="00DF1530">
        <w:rPr>
          <w:lang w:val="ru-RU"/>
        </w:rPr>
        <w:t xml:space="preserve"> </w:t>
      </w:r>
      <w:r w:rsidR="00E359BA" w:rsidRPr="00DF1530">
        <w:rPr>
          <w:lang w:val="ru-RU"/>
        </w:rPr>
        <w:t>Показатели по Бразилии и Колумбии</w:t>
      </w:r>
      <w:r w:rsidR="008C7A93" w:rsidRPr="00DF1530">
        <w:rPr>
          <w:lang w:val="ru-RU"/>
        </w:rPr>
        <w:t xml:space="preserve"> </w:t>
      </w:r>
      <w:r w:rsidR="00E359BA" w:rsidRPr="00DF1530">
        <w:rPr>
          <w:lang w:val="ru-RU"/>
        </w:rPr>
        <w:t xml:space="preserve">приведены за </w:t>
      </w:r>
      <w:r w:rsidR="008C7A93" w:rsidRPr="00DF1530">
        <w:rPr>
          <w:lang w:val="ru-RU"/>
        </w:rPr>
        <w:t>2001</w:t>
      </w:r>
      <w:r w:rsidR="00E359BA" w:rsidRPr="00DF1530">
        <w:rPr>
          <w:lang w:val="ru-RU"/>
        </w:rPr>
        <w:t xml:space="preserve">, а не за </w:t>
      </w:r>
      <w:r w:rsidR="008C7A93" w:rsidRPr="00DF1530">
        <w:rPr>
          <w:lang w:val="ru-RU"/>
        </w:rPr>
        <w:t>2000</w:t>
      </w:r>
      <w:r w:rsidR="00E359BA" w:rsidRPr="00DF1530">
        <w:rPr>
          <w:lang w:val="ru-RU"/>
        </w:rPr>
        <w:t xml:space="preserve"> год</w:t>
      </w:r>
      <w:r w:rsidR="008C7A93" w:rsidRPr="00DF1530">
        <w:rPr>
          <w:lang w:val="ru-RU"/>
        </w:rPr>
        <w:t xml:space="preserve">; </w:t>
      </w:r>
      <w:r w:rsidR="00E359BA" w:rsidRPr="00DF1530">
        <w:rPr>
          <w:lang w:val="ru-RU"/>
        </w:rPr>
        <w:t>показатели по Чили, Франции и Люксембургу</w:t>
      </w:r>
      <w:r w:rsidR="008C7A93" w:rsidRPr="00DF1530">
        <w:rPr>
          <w:lang w:val="ru-RU"/>
        </w:rPr>
        <w:t xml:space="preserve"> </w:t>
      </w:r>
      <w:r w:rsidR="00E359BA" w:rsidRPr="00DF1530">
        <w:rPr>
          <w:lang w:val="ru-RU"/>
        </w:rPr>
        <w:t xml:space="preserve">приведены за </w:t>
      </w:r>
      <w:r w:rsidR="008C7A93" w:rsidRPr="00DF1530">
        <w:rPr>
          <w:lang w:val="ru-RU"/>
        </w:rPr>
        <w:t>2011</w:t>
      </w:r>
      <w:r w:rsidR="00E359BA" w:rsidRPr="00DF1530">
        <w:rPr>
          <w:lang w:val="ru-RU"/>
        </w:rPr>
        <w:t xml:space="preserve">, а не за </w:t>
      </w:r>
      <w:r w:rsidR="008C7A93" w:rsidRPr="00DF1530">
        <w:rPr>
          <w:lang w:val="ru-RU"/>
        </w:rPr>
        <w:t>2012</w:t>
      </w:r>
      <w:r w:rsidR="00E359BA" w:rsidRPr="00DF1530">
        <w:rPr>
          <w:lang w:val="ru-RU"/>
        </w:rPr>
        <w:t xml:space="preserve"> го</w:t>
      </w:r>
      <w:r w:rsidR="002738EC" w:rsidRPr="00DF1530">
        <w:rPr>
          <w:lang w:val="ru-RU"/>
        </w:rPr>
        <w:t>д</w:t>
      </w:r>
      <w:r w:rsidR="008C7A93" w:rsidRPr="00DF1530">
        <w:rPr>
          <w:lang w:val="ru-RU"/>
        </w:rPr>
        <w:t xml:space="preserve">; </w:t>
      </w:r>
      <w:r w:rsidR="00E359BA" w:rsidRPr="00DF1530">
        <w:rPr>
          <w:lang w:val="ru-RU"/>
        </w:rPr>
        <w:t xml:space="preserve">показатели по </w:t>
      </w:r>
      <w:r w:rsidR="00C359CC" w:rsidRPr="00DF1530">
        <w:rPr>
          <w:lang w:val="ru-RU"/>
        </w:rPr>
        <w:t>Австрали</w:t>
      </w:r>
      <w:r w:rsidR="00E359BA" w:rsidRPr="00DF1530">
        <w:rPr>
          <w:lang w:val="ru-RU"/>
        </w:rPr>
        <w:t>и</w:t>
      </w:r>
      <w:r w:rsidR="008C7A93" w:rsidRPr="00DF1530">
        <w:rPr>
          <w:lang w:val="ru-RU"/>
        </w:rPr>
        <w:t xml:space="preserve">, </w:t>
      </w:r>
      <w:r w:rsidR="00E359BA" w:rsidRPr="00DF1530">
        <w:rPr>
          <w:lang w:val="ru-RU"/>
        </w:rPr>
        <w:t>Канаде</w:t>
      </w:r>
      <w:r w:rsidR="008C7A93" w:rsidRPr="00DF1530">
        <w:rPr>
          <w:lang w:val="ru-RU"/>
        </w:rPr>
        <w:t xml:space="preserve"> </w:t>
      </w:r>
      <w:r w:rsidR="00E359BA" w:rsidRPr="00DF1530">
        <w:rPr>
          <w:lang w:val="ru-RU"/>
        </w:rPr>
        <w:t xml:space="preserve">и </w:t>
      </w:r>
      <w:r w:rsidR="00692511" w:rsidRPr="00DF1530">
        <w:rPr>
          <w:lang w:val="ru-RU"/>
        </w:rPr>
        <w:t>Соедин</w:t>
      </w:r>
      <w:r w:rsidR="00BD465D" w:rsidRPr="00DF1530">
        <w:rPr>
          <w:lang w:val="ru-RU"/>
        </w:rPr>
        <w:t>е</w:t>
      </w:r>
      <w:r w:rsidR="00692511" w:rsidRPr="00DF1530">
        <w:rPr>
          <w:lang w:val="ru-RU"/>
        </w:rPr>
        <w:t>нны</w:t>
      </w:r>
      <w:r w:rsidR="00E359BA" w:rsidRPr="00DF1530">
        <w:rPr>
          <w:lang w:val="ru-RU"/>
        </w:rPr>
        <w:t>м</w:t>
      </w:r>
      <w:r w:rsidR="00692511" w:rsidRPr="00DF1530">
        <w:rPr>
          <w:lang w:val="ru-RU"/>
        </w:rPr>
        <w:t xml:space="preserve"> Штат</w:t>
      </w:r>
      <w:r w:rsidR="00E359BA" w:rsidRPr="00DF1530">
        <w:rPr>
          <w:lang w:val="ru-RU"/>
        </w:rPr>
        <w:t>ам</w:t>
      </w:r>
      <w:r w:rsidR="00B319D3" w:rsidRPr="00DF1530">
        <w:rPr>
          <w:lang w:val="ru-RU"/>
        </w:rPr>
        <w:t xml:space="preserve"> </w:t>
      </w:r>
      <w:r w:rsidR="002738EC" w:rsidRPr="00DF1530">
        <w:rPr>
          <w:lang w:val="ru-RU"/>
        </w:rPr>
        <w:t>не включают лиц, занимающихся индивидуальной трудовой и предпринимательской деятельностью в качестве юридического лица.</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2738EC" w:rsidRPr="00BA51F1">
        <w:rPr>
          <w:lang w:val="en-US"/>
        </w:rPr>
        <w:t>OECD Annual</w:t>
      </w:r>
      <w:r w:rsidR="008C7A93" w:rsidRPr="00BA51F1">
        <w:rPr>
          <w:lang w:val="en-US"/>
        </w:rPr>
        <w:t xml:space="preserve"> Labour Force Statistics Database</w:t>
      </w:r>
    </w:p>
    <w:p w:rsidR="008C7A93" w:rsidRPr="00DF1530" w:rsidRDefault="002738EC" w:rsidP="008C7A93">
      <w:pPr>
        <w:pStyle w:val="31"/>
        <w:rPr>
          <w:lang w:val="ru-RU"/>
        </w:rPr>
      </w:pPr>
      <w:r w:rsidRPr="00DF1530">
        <w:rPr>
          <w:lang w:val="ru-RU"/>
        </w:rPr>
        <w:t>Недостаточное количество новых предприятий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C7A93" w:rsidRPr="00DF1530">
        <w:rPr>
          <w:lang w:val="ru-RU"/>
        </w:rPr>
        <w:t xml:space="preserve"> </w:t>
      </w:r>
      <w:r w:rsidR="007C68D2" w:rsidRPr="00DF1530">
        <w:rPr>
          <w:lang w:val="ru-RU"/>
        </w:rPr>
        <w:t xml:space="preserve">Чтобы преодолеть отставание по количеству </w:t>
      </w:r>
      <w:r w:rsidR="00F736B7" w:rsidRPr="00DF1530">
        <w:rPr>
          <w:lang w:val="ru-RU"/>
        </w:rPr>
        <w:t>МСП</w:t>
      </w:r>
      <w:r w:rsidR="008C7A93" w:rsidRPr="00DF1530">
        <w:rPr>
          <w:lang w:val="ru-RU"/>
        </w:rPr>
        <w:t xml:space="preserve"> </w:t>
      </w:r>
      <w:r w:rsidR="007C68D2" w:rsidRPr="00DF1530">
        <w:rPr>
          <w:lang w:val="ru-RU"/>
        </w:rPr>
        <w:t xml:space="preserve">и предпринимателей </w:t>
      </w:r>
      <w:r w:rsidR="00834072" w:rsidRPr="00DF1530">
        <w:rPr>
          <w:lang w:val="ru-RU"/>
        </w:rPr>
        <w:t>в Российской Федерации</w:t>
      </w:r>
      <w:r w:rsidR="008C7A93" w:rsidRPr="00DF1530">
        <w:rPr>
          <w:lang w:val="ru-RU"/>
        </w:rPr>
        <w:t xml:space="preserve"> </w:t>
      </w:r>
      <w:r w:rsidR="007C68D2" w:rsidRPr="00DF1530">
        <w:rPr>
          <w:lang w:val="ru-RU"/>
        </w:rPr>
        <w:t xml:space="preserve">и обновить </w:t>
      </w:r>
      <w:r w:rsidR="00275F6C" w:rsidRPr="00DF1530">
        <w:rPr>
          <w:lang w:val="ru-RU"/>
        </w:rPr>
        <w:t xml:space="preserve">предпринимательский сектор </w:t>
      </w:r>
      <w:r w:rsidR="007C68D2" w:rsidRPr="00DF1530">
        <w:rPr>
          <w:lang w:val="ru-RU"/>
        </w:rPr>
        <w:t xml:space="preserve">за счет более эффективных и инновационных </w:t>
      </w:r>
      <w:r w:rsidR="00834072" w:rsidRPr="00DF1530">
        <w:rPr>
          <w:lang w:val="ru-RU"/>
        </w:rPr>
        <w:t>предприяти</w:t>
      </w:r>
      <w:r w:rsidR="007C68D2" w:rsidRPr="00DF1530">
        <w:rPr>
          <w:lang w:val="ru-RU"/>
        </w:rPr>
        <w:t>й, требуется открывать больше новых предприятий</w:t>
      </w:r>
      <w:r w:rsidR="008C7A93" w:rsidRPr="00DF1530">
        <w:rPr>
          <w:lang w:val="ru-RU"/>
        </w:rPr>
        <w:t xml:space="preserve">. </w:t>
      </w:r>
      <w:r w:rsidR="007C68D2" w:rsidRPr="00DF1530">
        <w:rPr>
          <w:lang w:val="ru-RU"/>
        </w:rPr>
        <w:t>Однако</w:t>
      </w:r>
      <w:r w:rsidR="008C7A93" w:rsidRPr="00DF1530">
        <w:rPr>
          <w:lang w:val="ru-RU"/>
        </w:rPr>
        <w:t xml:space="preserve"> </w:t>
      </w:r>
      <w:r w:rsidR="007C68D2" w:rsidRPr="00DF1530">
        <w:rPr>
          <w:lang w:val="ru-RU"/>
        </w:rPr>
        <w:t>в настоящее время ситуация обратная</w:t>
      </w:r>
      <w:r w:rsidR="008C7A93" w:rsidRPr="00DF1530">
        <w:rPr>
          <w:lang w:val="ru-RU"/>
        </w:rPr>
        <w:t xml:space="preserve">. </w:t>
      </w:r>
      <w:r w:rsidR="00701FAE" w:rsidRPr="00DF1530">
        <w:rPr>
          <w:lang w:val="ru-RU"/>
        </w:rPr>
        <w:t xml:space="preserve">Согласно </w:t>
      </w:r>
      <w:r w:rsidR="00362008" w:rsidRPr="00DF1530">
        <w:rPr>
          <w:lang w:val="ru-RU"/>
        </w:rPr>
        <w:t xml:space="preserve">Global Entrepreneurship Monitor (GEM), </w:t>
      </w:r>
      <w:r w:rsidR="00701FAE" w:rsidRPr="00DF1530">
        <w:rPr>
          <w:lang w:val="ru-RU"/>
        </w:rPr>
        <w:t xml:space="preserve">всего </w:t>
      </w:r>
      <w:r w:rsidR="008C7A93" w:rsidRPr="00DF1530">
        <w:rPr>
          <w:lang w:val="ru-RU"/>
        </w:rPr>
        <w:t>3</w:t>
      </w:r>
      <w:r w:rsidR="00F736B7" w:rsidRPr="00DF1530">
        <w:rPr>
          <w:lang w:val="ru-RU"/>
        </w:rPr>
        <w:t>,0%</w:t>
      </w:r>
      <w:r w:rsidR="008C7A93" w:rsidRPr="00DF1530">
        <w:rPr>
          <w:lang w:val="ru-RU"/>
        </w:rPr>
        <w:t xml:space="preserve"> </w:t>
      </w:r>
      <w:r w:rsidR="00701FAE" w:rsidRPr="00DF1530">
        <w:rPr>
          <w:lang w:val="ru-RU"/>
        </w:rPr>
        <w:t>взрослого населения Российской Федерации</w:t>
      </w:r>
      <w:r w:rsidR="008C7A93" w:rsidRPr="00DF1530">
        <w:rPr>
          <w:lang w:val="ru-RU"/>
        </w:rPr>
        <w:t xml:space="preserve"> </w:t>
      </w:r>
      <w:r w:rsidR="00701FAE" w:rsidRPr="00DF1530">
        <w:rPr>
          <w:lang w:val="ru-RU"/>
        </w:rPr>
        <w:t xml:space="preserve">в 2013 году занимались организацией </w:t>
      </w:r>
      <w:r w:rsidR="00834072" w:rsidRPr="00DF1530">
        <w:rPr>
          <w:lang w:val="ru-RU"/>
        </w:rPr>
        <w:t>предпринимательск</w:t>
      </w:r>
      <w:r w:rsidR="00701FAE" w:rsidRPr="00DF1530">
        <w:rPr>
          <w:lang w:val="ru-RU"/>
        </w:rPr>
        <w:t>ой</w:t>
      </w:r>
      <w:r w:rsidR="00834072" w:rsidRPr="00DF1530">
        <w:rPr>
          <w:lang w:val="ru-RU"/>
        </w:rPr>
        <w:t xml:space="preserve"> деятельност</w:t>
      </w:r>
      <w:r w:rsidR="00701FAE" w:rsidRPr="00DF1530">
        <w:rPr>
          <w:lang w:val="ru-RU"/>
        </w:rPr>
        <w:t>и</w:t>
      </w:r>
      <w:r w:rsidR="008C7A93" w:rsidRPr="00DF1530">
        <w:rPr>
          <w:lang w:val="ru-RU"/>
        </w:rPr>
        <w:t xml:space="preserve"> (</w:t>
      </w:r>
      <w:r w:rsidR="00834072" w:rsidRPr="00DF1530">
        <w:rPr>
          <w:lang w:val="ru-RU"/>
        </w:rPr>
        <w:t>т.е.</w:t>
      </w:r>
      <w:r w:rsidR="008C7A93" w:rsidRPr="00DF1530">
        <w:rPr>
          <w:lang w:val="ru-RU"/>
        </w:rPr>
        <w:t xml:space="preserve"> </w:t>
      </w:r>
      <w:r w:rsidR="00471B9A" w:rsidRPr="00DF1530">
        <w:rPr>
          <w:lang w:val="ru-RU"/>
        </w:rPr>
        <w:t xml:space="preserve">процент </w:t>
      </w:r>
      <w:r w:rsidR="0047268B" w:rsidRPr="00DF1530">
        <w:rPr>
          <w:lang w:val="ru-RU"/>
        </w:rPr>
        <w:t xml:space="preserve">взрослого населения </w:t>
      </w:r>
      <w:r w:rsidR="00471B9A" w:rsidRPr="00DF1530">
        <w:rPr>
          <w:lang w:val="ru-RU"/>
        </w:rPr>
        <w:t>в первые три месяца работы нового предприятия в качестве владельцев или совладельцев</w:t>
      </w:r>
      <w:r w:rsidR="008C7A93" w:rsidRPr="00DF1530">
        <w:rPr>
          <w:lang w:val="ru-RU"/>
        </w:rPr>
        <w:t xml:space="preserve">). </w:t>
      </w:r>
      <w:r w:rsidR="00CB734F" w:rsidRPr="00DF1530">
        <w:rPr>
          <w:lang w:val="ru-RU"/>
        </w:rPr>
        <w:t xml:space="preserve">В странах с ориентированной на эффективность экономикой этот показатель равен приблизительно </w:t>
      </w:r>
      <w:r w:rsidR="008C7A93" w:rsidRPr="00DF1530">
        <w:rPr>
          <w:lang w:val="ru-RU"/>
        </w:rPr>
        <w:t>8</w:t>
      </w:r>
      <w:r w:rsidR="00CB734F" w:rsidRPr="00DF1530">
        <w:rPr>
          <w:lang w:val="ru-RU"/>
        </w:rPr>
        <w:t>,</w:t>
      </w:r>
      <w:r w:rsidR="008C7A93" w:rsidRPr="00DF1530">
        <w:rPr>
          <w:lang w:val="ru-RU"/>
        </w:rPr>
        <w:t xml:space="preserve">1%, </w:t>
      </w:r>
      <w:r w:rsidR="00CB734F" w:rsidRPr="00DF1530">
        <w:rPr>
          <w:lang w:val="ru-RU"/>
        </w:rPr>
        <w:t xml:space="preserve">он составляет </w:t>
      </w:r>
      <w:r w:rsidR="008C7A93" w:rsidRPr="00DF1530">
        <w:rPr>
          <w:lang w:val="ru-RU"/>
        </w:rPr>
        <w:t>5</w:t>
      </w:r>
      <w:r w:rsidR="00CB734F" w:rsidRPr="00DF1530">
        <w:rPr>
          <w:lang w:val="ru-RU"/>
        </w:rPr>
        <w:t>,</w:t>
      </w:r>
      <w:r w:rsidR="008C7A93" w:rsidRPr="00DF1530">
        <w:rPr>
          <w:lang w:val="ru-RU"/>
        </w:rPr>
        <w:t xml:space="preserve">1% </w:t>
      </w:r>
      <w:r w:rsidR="00CB734F" w:rsidRPr="00DF1530">
        <w:rPr>
          <w:lang w:val="ru-RU"/>
        </w:rPr>
        <w:t>в</w:t>
      </w:r>
      <w:r w:rsidR="008C7A93" w:rsidRPr="00DF1530">
        <w:rPr>
          <w:lang w:val="ru-RU"/>
        </w:rPr>
        <w:t xml:space="preserve"> </w:t>
      </w:r>
      <w:r w:rsidR="00E359BA" w:rsidRPr="00DF1530">
        <w:rPr>
          <w:lang w:val="ru-RU"/>
        </w:rPr>
        <w:t>Бразили</w:t>
      </w:r>
      <w:r w:rsidR="00CB734F" w:rsidRPr="00DF1530">
        <w:rPr>
          <w:lang w:val="ru-RU"/>
        </w:rPr>
        <w:t>и</w:t>
      </w:r>
      <w:r w:rsidR="008C7A93" w:rsidRPr="00DF1530">
        <w:rPr>
          <w:lang w:val="ru-RU"/>
        </w:rPr>
        <w:t xml:space="preserve"> </w:t>
      </w:r>
      <w:r w:rsidR="00CB734F" w:rsidRPr="00DF1530">
        <w:rPr>
          <w:lang w:val="ru-RU"/>
        </w:rPr>
        <w:t xml:space="preserve">и </w:t>
      </w:r>
      <w:r w:rsidR="008C7A93" w:rsidRPr="00DF1530">
        <w:rPr>
          <w:lang w:val="ru-RU"/>
        </w:rPr>
        <w:t>5</w:t>
      </w:r>
      <w:r w:rsidR="00CB734F" w:rsidRPr="00DF1530">
        <w:rPr>
          <w:lang w:val="ru-RU"/>
        </w:rPr>
        <w:t>,</w:t>
      </w:r>
      <w:r w:rsidR="008C7A93" w:rsidRPr="00DF1530">
        <w:rPr>
          <w:lang w:val="ru-RU"/>
        </w:rPr>
        <w:t xml:space="preserve">2% </w:t>
      </w:r>
      <w:r w:rsidR="00CB734F" w:rsidRPr="00DF1530">
        <w:rPr>
          <w:lang w:val="ru-RU"/>
        </w:rPr>
        <w:t>в</w:t>
      </w:r>
      <w:r w:rsidR="008C7A93" w:rsidRPr="00DF1530">
        <w:rPr>
          <w:lang w:val="ru-RU"/>
        </w:rPr>
        <w:t xml:space="preserve"> </w:t>
      </w:r>
      <w:r w:rsidR="00CB734F" w:rsidRPr="00DF1530">
        <w:rPr>
          <w:lang w:val="ru-RU"/>
        </w:rPr>
        <w:t xml:space="preserve">Китае, </w:t>
      </w:r>
      <w:r w:rsidR="00592D7B" w:rsidRPr="00DF1530">
        <w:rPr>
          <w:lang w:val="ru-RU"/>
        </w:rPr>
        <w:t>к примеру</w:t>
      </w:r>
      <w:r w:rsidR="008C7A93" w:rsidRPr="00DF1530">
        <w:rPr>
          <w:lang w:val="ru-RU"/>
        </w:rPr>
        <w:t xml:space="preserve"> (</w:t>
      </w:r>
      <w:r w:rsidR="00CB734F" w:rsidRPr="00DF1530">
        <w:rPr>
          <w:lang w:val="ru-RU"/>
        </w:rPr>
        <w:t>Таблица</w:t>
      </w:r>
      <w:r w:rsidR="008C7A93" w:rsidRPr="00DF1530">
        <w:rPr>
          <w:lang w:val="ru-RU"/>
        </w:rPr>
        <w:t xml:space="preserve"> 1.1). </w:t>
      </w:r>
      <w:r w:rsidR="00CB734F" w:rsidRPr="00DF1530">
        <w:rPr>
          <w:lang w:val="ru-RU"/>
        </w:rPr>
        <w:t xml:space="preserve">Процент владельцев новых предприятий </w:t>
      </w:r>
      <w:r w:rsidR="00592D7B" w:rsidRPr="00DF1530">
        <w:rPr>
          <w:lang w:val="ru-RU"/>
        </w:rPr>
        <w:t>также</w:t>
      </w:r>
      <w:r w:rsidR="008C7A93" w:rsidRPr="00DF1530">
        <w:rPr>
          <w:lang w:val="ru-RU"/>
        </w:rPr>
        <w:t xml:space="preserve"> </w:t>
      </w:r>
      <w:r w:rsidR="00CB734F" w:rsidRPr="00DF1530">
        <w:rPr>
          <w:lang w:val="ru-RU"/>
        </w:rPr>
        <w:t xml:space="preserve">очень низкий </w:t>
      </w:r>
      <w:r w:rsidR="008C7A93" w:rsidRPr="00DF1530">
        <w:rPr>
          <w:lang w:val="ru-RU"/>
        </w:rPr>
        <w:t>(</w:t>
      </w:r>
      <w:r w:rsidR="00834072" w:rsidRPr="00DF1530">
        <w:rPr>
          <w:lang w:val="ru-RU"/>
        </w:rPr>
        <w:t>т.е.</w:t>
      </w:r>
      <w:r w:rsidR="008C7A93" w:rsidRPr="00DF1530">
        <w:rPr>
          <w:lang w:val="ru-RU"/>
        </w:rPr>
        <w:t xml:space="preserve"> </w:t>
      </w:r>
      <w:r w:rsidR="00CB734F" w:rsidRPr="00DF1530">
        <w:rPr>
          <w:lang w:val="ru-RU"/>
        </w:rPr>
        <w:t>процент</w:t>
      </w:r>
      <w:r w:rsidR="008C7A93" w:rsidRPr="00DF1530">
        <w:rPr>
          <w:lang w:val="ru-RU"/>
        </w:rPr>
        <w:t xml:space="preserve"> </w:t>
      </w:r>
      <w:r w:rsidR="0047268B" w:rsidRPr="00DF1530">
        <w:rPr>
          <w:lang w:val="ru-RU"/>
        </w:rPr>
        <w:t>взрослого населения</w:t>
      </w:r>
      <w:r w:rsidR="00CB734F" w:rsidRPr="00DF1530">
        <w:rPr>
          <w:lang w:val="ru-RU"/>
        </w:rPr>
        <w:t xml:space="preserve">, которые руководят предприятиями, действующими более </w:t>
      </w:r>
      <w:r w:rsidR="008C7A93" w:rsidRPr="00DF1530">
        <w:rPr>
          <w:lang w:val="ru-RU"/>
        </w:rPr>
        <w:t xml:space="preserve">3 </w:t>
      </w:r>
      <w:r w:rsidR="00CB734F" w:rsidRPr="00DF1530">
        <w:rPr>
          <w:lang w:val="ru-RU"/>
        </w:rPr>
        <w:t>месяцев, но меньше чем три с половиной года</w:t>
      </w:r>
      <w:r w:rsidR="008C7A93" w:rsidRPr="00DF1530">
        <w:rPr>
          <w:lang w:val="ru-RU"/>
        </w:rPr>
        <w:t xml:space="preserve">). </w:t>
      </w:r>
      <w:r w:rsidR="00CB734F" w:rsidRPr="00DF1530">
        <w:rPr>
          <w:lang w:val="ru-RU"/>
        </w:rPr>
        <w:t xml:space="preserve">Лишь </w:t>
      </w:r>
      <w:r w:rsidR="008C7A93" w:rsidRPr="00DF1530">
        <w:rPr>
          <w:lang w:val="ru-RU"/>
        </w:rPr>
        <w:t>2</w:t>
      </w:r>
      <w:r w:rsidR="00CB734F" w:rsidRPr="00DF1530">
        <w:rPr>
          <w:lang w:val="ru-RU"/>
        </w:rPr>
        <w:t>,</w:t>
      </w:r>
      <w:r w:rsidR="008C7A93" w:rsidRPr="00DF1530">
        <w:rPr>
          <w:lang w:val="ru-RU"/>
        </w:rPr>
        <w:t xml:space="preserve">3% </w:t>
      </w:r>
      <w:r w:rsidR="0047268B" w:rsidRPr="00DF1530">
        <w:rPr>
          <w:lang w:val="ru-RU"/>
        </w:rPr>
        <w:t xml:space="preserve">взрослого населения </w:t>
      </w:r>
      <w:r w:rsidR="00CB734F" w:rsidRPr="00DF1530">
        <w:rPr>
          <w:lang w:val="ru-RU"/>
        </w:rPr>
        <w:t xml:space="preserve">были владельцами новых предприятий </w:t>
      </w:r>
      <w:r w:rsidR="00834072" w:rsidRPr="00DF1530">
        <w:rPr>
          <w:lang w:val="ru-RU"/>
        </w:rPr>
        <w:t>в Российской Федерации</w:t>
      </w:r>
      <w:r w:rsidR="008C7A93" w:rsidRPr="00DF1530">
        <w:rPr>
          <w:lang w:val="ru-RU"/>
        </w:rPr>
        <w:t xml:space="preserve"> </w:t>
      </w:r>
      <w:r w:rsidR="00701FAE" w:rsidRPr="00DF1530">
        <w:rPr>
          <w:lang w:val="ru-RU"/>
        </w:rPr>
        <w:t xml:space="preserve">в </w:t>
      </w:r>
      <w:r w:rsidR="00701FAE" w:rsidRPr="00DF1530">
        <w:rPr>
          <w:lang w:val="ru-RU"/>
        </w:rPr>
        <w:lastRenderedPageBreak/>
        <w:t>2013 году</w:t>
      </w:r>
      <w:r w:rsidR="00CB734F" w:rsidRPr="00DF1530">
        <w:rPr>
          <w:lang w:val="ru-RU"/>
        </w:rPr>
        <w:t>,</w:t>
      </w:r>
      <w:r w:rsidR="008C7A93" w:rsidRPr="00DF1530">
        <w:rPr>
          <w:lang w:val="ru-RU"/>
        </w:rPr>
        <w:t xml:space="preserve"> </w:t>
      </w:r>
      <w:r w:rsidR="00F736B7" w:rsidRPr="00DF1530">
        <w:rPr>
          <w:lang w:val="ru-RU"/>
        </w:rPr>
        <w:t>по сравнению с</w:t>
      </w:r>
      <w:r w:rsidR="00CB734F" w:rsidRPr="00DF1530">
        <w:rPr>
          <w:lang w:val="ru-RU"/>
        </w:rPr>
        <w:t xml:space="preserve">о средним показателем </w:t>
      </w:r>
      <w:r w:rsidR="008C7A93" w:rsidRPr="00DF1530">
        <w:rPr>
          <w:lang w:val="ru-RU"/>
        </w:rPr>
        <w:t>6</w:t>
      </w:r>
      <w:r w:rsidR="00F736B7" w:rsidRPr="00DF1530">
        <w:rPr>
          <w:lang w:val="ru-RU"/>
        </w:rPr>
        <w:t>,0%</w:t>
      </w:r>
      <w:r w:rsidR="008C7A93" w:rsidRPr="00DF1530">
        <w:rPr>
          <w:lang w:val="ru-RU"/>
        </w:rPr>
        <w:t xml:space="preserve"> </w:t>
      </w:r>
      <w:r w:rsidR="00CB734F" w:rsidRPr="00DF1530">
        <w:rPr>
          <w:lang w:val="ru-RU"/>
        </w:rPr>
        <w:t>в странах с ориентированной на эффективность экономикой</w:t>
      </w:r>
      <w:r w:rsidR="008C7A93" w:rsidRPr="00DF1530">
        <w:rPr>
          <w:lang w:val="ru-RU"/>
        </w:rPr>
        <w:t xml:space="preserve">, </w:t>
      </w:r>
      <w:r w:rsidR="00CB734F" w:rsidRPr="00DF1530">
        <w:rPr>
          <w:lang w:val="ru-RU"/>
        </w:rPr>
        <w:t xml:space="preserve">и </w:t>
      </w:r>
      <w:r w:rsidR="008C7A93" w:rsidRPr="00DF1530">
        <w:rPr>
          <w:lang w:val="ru-RU"/>
        </w:rPr>
        <w:t>12</w:t>
      </w:r>
      <w:r w:rsidR="00CB734F" w:rsidRPr="00DF1530">
        <w:rPr>
          <w:lang w:val="ru-RU"/>
        </w:rPr>
        <w:t>,</w:t>
      </w:r>
      <w:r w:rsidR="008C7A93" w:rsidRPr="00DF1530">
        <w:rPr>
          <w:lang w:val="ru-RU"/>
        </w:rPr>
        <w:t xml:space="preserve">6% </w:t>
      </w:r>
      <w:r w:rsidR="00CB734F" w:rsidRPr="00DF1530">
        <w:rPr>
          <w:lang w:val="ru-RU"/>
        </w:rPr>
        <w:t>в</w:t>
      </w:r>
      <w:r w:rsidR="008C7A93" w:rsidRPr="00DF1530">
        <w:rPr>
          <w:lang w:val="ru-RU"/>
        </w:rPr>
        <w:t xml:space="preserve"> </w:t>
      </w:r>
      <w:r w:rsidR="00E359BA" w:rsidRPr="00DF1530">
        <w:rPr>
          <w:lang w:val="ru-RU"/>
        </w:rPr>
        <w:t>Бразили</w:t>
      </w:r>
      <w:r w:rsidR="00CB734F" w:rsidRPr="00DF1530">
        <w:rPr>
          <w:lang w:val="ru-RU"/>
        </w:rPr>
        <w:t xml:space="preserve">и и </w:t>
      </w:r>
      <w:r w:rsidR="008C7A93" w:rsidRPr="00DF1530">
        <w:rPr>
          <w:lang w:val="ru-RU"/>
        </w:rPr>
        <w:t>8</w:t>
      </w:r>
      <w:r w:rsidR="00CB734F" w:rsidRPr="00DF1530">
        <w:rPr>
          <w:lang w:val="ru-RU"/>
        </w:rPr>
        <w:t>,</w:t>
      </w:r>
      <w:r w:rsidR="008C7A93" w:rsidRPr="00DF1530">
        <w:rPr>
          <w:lang w:val="ru-RU"/>
        </w:rPr>
        <w:t xml:space="preserve">9% </w:t>
      </w:r>
      <w:r w:rsidR="00CB734F" w:rsidRPr="00DF1530">
        <w:rPr>
          <w:lang w:val="ru-RU"/>
        </w:rPr>
        <w:t>в Китае</w:t>
      </w:r>
      <w:r w:rsidR="008C7A93" w:rsidRPr="00DF1530">
        <w:rPr>
          <w:lang w:val="ru-RU"/>
        </w:rPr>
        <w:t xml:space="preserve">. </w:t>
      </w:r>
    </w:p>
    <w:p w:rsidR="008C7A93" w:rsidRPr="00DF1530" w:rsidRDefault="008C7A93" w:rsidP="008C7A93">
      <w:pPr>
        <w:pStyle w:val="TableSub-title"/>
        <w:rPr>
          <w:lang w:val="ru-RU"/>
        </w:rPr>
      </w:pPr>
    </w:p>
    <w:p w:rsidR="008C7A93" w:rsidRPr="00DF1530" w:rsidRDefault="00CB734F" w:rsidP="008C7A93">
      <w:pPr>
        <w:pStyle w:val="TableTitle"/>
        <w:rPr>
          <w:lang w:val="ru-RU"/>
        </w:rPr>
      </w:pPr>
      <w:r w:rsidRPr="00DF1530">
        <w:rPr>
          <w:lang w:val="ru-RU"/>
        </w:rPr>
        <w:t>Таблица</w:t>
      </w:r>
      <w:r w:rsidR="008C7A93" w:rsidRPr="00DF1530">
        <w:rPr>
          <w:lang w:val="ru-RU"/>
        </w:rPr>
        <w:t xml:space="preserve"> 1.1.</w:t>
      </w:r>
      <w:r w:rsidR="008C7A93" w:rsidRPr="00DF1530">
        <w:rPr>
          <w:lang w:val="ru-RU"/>
        </w:rPr>
        <w:tab/>
      </w:r>
      <w:r w:rsidR="00347E3A" w:rsidRPr="00DF1530">
        <w:rPr>
          <w:lang w:val="ru-RU"/>
        </w:rPr>
        <w:t>Предпринимательская деятельность</w:t>
      </w:r>
      <w:r w:rsidR="008C7A93" w:rsidRPr="00DF1530">
        <w:rPr>
          <w:lang w:val="ru-RU"/>
        </w:rPr>
        <w:t xml:space="preserve"> </w:t>
      </w:r>
      <w:r w:rsidR="00347E3A" w:rsidRPr="00DF1530">
        <w:rPr>
          <w:lang w:val="ru-RU"/>
        </w:rPr>
        <w:t>в странах с ориентированной на эффективность экономикой</w:t>
      </w:r>
      <w:r w:rsidR="008C7A93" w:rsidRPr="00DF1530">
        <w:rPr>
          <w:lang w:val="ru-RU"/>
        </w:rPr>
        <w:t>, 2013</w:t>
      </w:r>
      <w:r w:rsidR="00347E3A" w:rsidRPr="00DF1530">
        <w:rPr>
          <w:lang w:val="ru-RU"/>
        </w:rPr>
        <w:t xml:space="preserve"> г.</w:t>
      </w:r>
      <w:r w:rsidR="009030BD" w:rsidRPr="00DF1530">
        <w:rPr>
          <w:lang w:val="ru-RU"/>
        </w:rPr>
        <w:fldChar w:fldCharType="begin"/>
      </w:r>
      <w:r w:rsidR="008C7A93" w:rsidRPr="00DF1530">
        <w:rPr>
          <w:lang w:val="ru-RU"/>
        </w:rPr>
        <w:instrText xml:space="preserve"> TC \f t \l 2 "Table 1.1.</w:instrText>
      </w:r>
      <w:r w:rsidR="008C7A93" w:rsidRPr="00DF1530">
        <w:rPr>
          <w:lang w:val="ru-RU"/>
        </w:rPr>
        <w:tab/>
        <w:instrText xml:space="preserve">Entrepreneurial activity in efficiency-driven economies, 2013"  </w:instrText>
      </w:r>
      <w:r w:rsidR="009030BD" w:rsidRPr="00DF1530">
        <w:rPr>
          <w:lang w:val="ru-RU"/>
        </w:rPr>
        <w:fldChar w:fldCharType="end"/>
      </w:r>
    </w:p>
    <w:p w:rsidR="008C7A93" w:rsidRPr="00DF1530" w:rsidRDefault="00347E3A" w:rsidP="008C7A93">
      <w:pPr>
        <w:pStyle w:val="TableSub-title"/>
        <w:rPr>
          <w:lang w:val="ru-RU"/>
        </w:rPr>
      </w:pPr>
      <w:r w:rsidRPr="00DF1530">
        <w:rPr>
          <w:lang w:val="ru-RU"/>
        </w:rPr>
        <w:t>Процент взрослого населения</w:t>
      </w:r>
      <w:r w:rsidR="008C7A93" w:rsidRPr="00DF1530">
        <w:rPr>
          <w:lang w:val="ru-RU"/>
        </w:rPr>
        <w:t xml:space="preserve"> </w:t>
      </w:r>
    </w:p>
    <w:tbl>
      <w:tblPr>
        <w:tblW w:w="0" w:type="auto"/>
        <w:jc w:val="center"/>
        <w:tblBorders>
          <w:top w:val="single" w:sz="8" w:space="0" w:color="4F81BD"/>
          <w:bottom w:val="single" w:sz="8" w:space="0" w:color="4F81BD"/>
        </w:tblBorders>
        <w:tblLook w:val="04A0"/>
      </w:tblPr>
      <w:tblGrid>
        <w:gridCol w:w="2626"/>
        <w:gridCol w:w="1986"/>
        <w:gridCol w:w="1986"/>
      </w:tblGrid>
      <w:tr w:rsidR="008C7A93" w:rsidRPr="00953748" w:rsidTr="005E53F2">
        <w:trPr>
          <w:cantSplit/>
          <w:trHeight w:val="283"/>
          <w:jc w:val="center"/>
        </w:trPr>
        <w:tc>
          <w:tcPr>
            <w:tcW w:w="0" w:type="auto"/>
            <w:tcBorders>
              <w:top w:val="single" w:sz="8" w:space="0" w:color="4F81BD"/>
              <w:left w:val="nil"/>
              <w:bottom w:val="single" w:sz="8" w:space="0" w:color="4F81BD"/>
              <w:right w:val="nil"/>
            </w:tcBorders>
            <w:shd w:val="clear" w:color="auto" w:fill="auto"/>
            <w:noWrap/>
            <w:vAlign w:val="center"/>
            <w:hideMark/>
          </w:tcPr>
          <w:p w:rsidR="008C7A93" w:rsidRPr="00DF1530" w:rsidRDefault="008C7A93" w:rsidP="005E53F2">
            <w:pPr>
              <w:keepNext/>
              <w:keepLines/>
              <w:jc w:val="left"/>
              <w:rPr>
                <w:rFonts w:asciiTheme="minorBidi" w:hAnsiTheme="minorBidi" w:cstheme="minorBidi"/>
                <w:b/>
                <w:bCs/>
                <w:sz w:val="16"/>
                <w:szCs w:val="16"/>
                <w:lang w:val="ru-RU"/>
              </w:rPr>
            </w:pPr>
          </w:p>
        </w:tc>
        <w:tc>
          <w:tcPr>
            <w:tcW w:w="1986" w:type="dxa"/>
            <w:tcBorders>
              <w:top w:val="single" w:sz="8" w:space="0" w:color="4F81BD"/>
              <w:left w:val="nil"/>
              <w:bottom w:val="single" w:sz="8" w:space="0" w:color="4F81BD"/>
              <w:right w:val="nil"/>
            </w:tcBorders>
            <w:shd w:val="clear" w:color="auto" w:fill="auto"/>
            <w:noWrap/>
            <w:vAlign w:val="center"/>
            <w:hideMark/>
          </w:tcPr>
          <w:p w:rsidR="008C7A93" w:rsidRPr="00DF1530" w:rsidRDefault="00347E3A" w:rsidP="00347E3A">
            <w:pPr>
              <w:keepNext/>
              <w:keepLines/>
              <w:tabs>
                <w:tab w:val="clear" w:pos="850"/>
                <w:tab w:val="clear" w:pos="1191"/>
                <w:tab w:val="clear" w:pos="1531"/>
              </w:tabs>
              <w:jc w:val="center"/>
              <w:rPr>
                <w:rFonts w:asciiTheme="minorBidi" w:hAnsiTheme="minorBidi" w:cstheme="minorBidi"/>
                <w:b/>
                <w:bCs/>
                <w:sz w:val="16"/>
                <w:szCs w:val="16"/>
                <w:lang w:val="ru-RU"/>
              </w:rPr>
            </w:pPr>
            <w:r w:rsidRPr="00DF1530">
              <w:rPr>
                <w:rFonts w:asciiTheme="minorBidi" w:hAnsiTheme="minorBidi" w:cstheme="minorBidi"/>
                <w:b/>
                <w:bCs/>
                <w:sz w:val="16"/>
                <w:szCs w:val="16"/>
                <w:lang w:val="ru-RU"/>
              </w:rPr>
              <w:t>Новые предприниматели</w:t>
            </w:r>
            <w:r w:rsidR="008C7A93" w:rsidRPr="00DF1530">
              <w:rPr>
                <w:rFonts w:asciiTheme="minorBidi" w:hAnsiTheme="minorBidi" w:cstheme="minorBidi"/>
                <w:b/>
                <w:bCs/>
                <w:sz w:val="16"/>
                <w:szCs w:val="16"/>
                <w:lang w:val="ru-RU"/>
              </w:rPr>
              <w:t xml:space="preserve"> (</w:t>
            </w:r>
            <w:r w:rsidRPr="00DF1530">
              <w:rPr>
                <w:rFonts w:asciiTheme="minorBidi" w:hAnsiTheme="minorBidi" w:cstheme="minorBidi"/>
                <w:b/>
                <w:bCs/>
                <w:sz w:val="16"/>
                <w:szCs w:val="16"/>
                <w:lang w:val="ru-RU"/>
              </w:rPr>
              <w:t xml:space="preserve">период деятельности предприятия – до </w:t>
            </w:r>
            <w:r w:rsidR="008C7A93" w:rsidRPr="00DF1530">
              <w:rPr>
                <w:rFonts w:asciiTheme="minorBidi" w:hAnsiTheme="minorBidi" w:cstheme="minorBidi"/>
                <w:b/>
                <w:bCs/>
                <w:sz w:val="16"/>
                <w:szCs w:val="16"/>
                <w:lang w:val="ru-RU"/>
              </w:rPr>
              <w:t xml:space="preserve">3 </w:t>
            </w:r>
            <w:r w:rsidRPr="00DF1530">
              <w:rPr>
                <w:rFonts w:asciiTheme="minorBidi" w:hAnsiTheme="minorBidi" w:cstheme="minorBidi"/>
                <w:b/>
                <w:bCs/>
                <w:sz w:val="16"/>
                <w:szCs w:val="16"/>
                <w:lang w:val="ru-RU"/>
              </w:rPr>
              <w:t>месяцев</w:t>
            </w:r>
            <w:r w:rsidR="008C7A93" w:rsidRPr="00DF1530">
              <w:rPr>
                <w:rFonts w:asciiTheme="minorBidi" w:hAnsiTheme="minorBidi" w:cstheme="minorBidi"/>
                <w:b/>
                <w:bCs/>
                <w:sz w:val="16"/>
                <w:szCs w:val="16"/>
                <w:lang w:val="ru-RU"/>
              </w:rPr>
              <w:t>)</w:t>
            </w:r>
          </w:p>
        </w:tc>
        <w:tc>
          <w:tcPr>
            <w:tcW w:w="1986" w:type="dxa"/>
            <w:tcBorders>
              <w:top w:val="single" w:sz="8" w:space="0" w:color="4F81BD"/>
              <w:left w:val="nil"/>
              <w:bottom w:val="single" w:sz="8" w:space="0" w:color="4F81BD"/>
              <w:right w:val="nil"/>
            </w:tcBorders>
            <w:shd w:val="clear" w:color="auto" w:fill="auto"/>
            <w:noWrap/>
            <w:vAlign w:val="center"/>
            <w:hideMark/>
          </w:tcPr>
          <w:p w:rsidR="008C7A93" w:rsidRPr="00DF1530" w:rsidRDefault="00347E3A" w:rsidP="00347E3A">
            <w:pPr>
              <w:keepNext/>
              <w:keepLines/>
              <w:jc w:val="center"/>
              <w:rPr>
                <w:rFonts w:asciiTheme="minorBidi" w:hAnsiTheme="minorBidi" w:cstheme="minorBidi"/>
                <w:b/>
                <w:bCs/>
                <w:sz w:val="16"/>
                <w:szCs w:val="16"/>
                <w:lang w:val="ru-RU"/>
              </w:rPr>
            </w:pPr>
            <w:r w:rsidRPr="00DF1530">
              <w:rPr>
                <w:rFonts w:asciiTheme="minorBidi" w:hAnsiTheme="minorBidi" w:cstheme="minorBidi"/>
                <w:b/>
                <w:bCs/>
                <w:sz w:val="16"/>
                <w:szCs w:val="16"/>
                <w:lang w:val="ru-RU"/>
              </w:rPr>
              <w:t>Владельцы новых предприятий</w:t>
            </w:r>
            <w:r w:rsidR="008C7A93" w:rsidRPr="00DF1530">
              <w:rPr>
                <w:rFonts w:asciiTheme="minorBidi" w:hAnsiTheme="minorBidi" w:cstheme="minorBidi"/>
                <w:b/>
                <w:bCs/>
                <w:sz w:val="16"/>
                <w:szCs w:val="16"/>
                <w:lang w:val="ru-RU"/>
              </w:rPr>
              <w:t xml:space="preserve"> (</w:t>
            </w:r>
            <w:r w:rsidRPr="00DF1530">
              <w:rPr>
                <w:rFonts w:asciiTheme="minorBidi" w:hAnsiTheme="minorBidi" w:cstheme="minorBidi"/>
                <w:b/>
                <w:bCs/>
                <w:sz w:val="16"/>
                <w:szCs w:val="16"/>
                <w:lang w:val="ru-RU"/>
              </w:rPr>
              <w:t xml:space="preserve">период деятельности предприятия – </w:t>
            </w:r>
            <w:r w:rsidR="008C7A93" w:rsidRPr="00DF1530">
              <w:rPr>
                <w:rFonts w:asciiTheme="minorBidi" w:hAnsiTheme="minorBidi" w:cstheme="minorBidi"/>
                <w:b/>
                <w:bCs/>
                <w:sz w:val="16"/>
                <w:szCs w:val="16"/>
                <w:lang w:val="ru-RU"/>
              </w:rPr>
              <w:t xml:space="preserve">3-42 </w:t>
            </w:r>
            <w:r w:rsidRPr="00DF1530">
              <w:rPr>
                <w:rFonts w:asciiTheme="minorBidi" w:hAnsiTheme="minorBidi" w:cstheme="minorBidi"/>
                <w:b/>
                <w:bCs/>
                <w:sz w:val="16"/>
                <w:szCs w:val="16"/>
                <w:lang w:val="ru-RU"/>
              </w:rPr>
              <w:t>месяца</w:t>
            </w:r>
            <w:r w:rsidR="008C7A93" w:rsidRPr="00DF1530">
              <w:rPr>
                <w:rFonts w:asciiTheme="minorBidi" w:hAnsiTheme="minorBidi" w:cstheme="minorBidi"/>
                <w:b/>
                <w:bCs/>
                <w:sz w:val="16"/>
                <w:szCs w:val="16"/>
                <w:lang w:val="ru-RU"/>
              </w:rPr>
              <w:t>)</w:t>
            </w:r>
          </w:p>
        </w:tc>
      </w:tr>
      <w:tr w:rsidR="008C7A93" w:rsidRPr="00DF1530" w:rsidTr="005E53F2">
        <w:trPr>
          <w:trHeight w:val="283"/>
          <w:jc w:val="center"/>
        </w:trPr>
        <w:tc>
          <w:tcPr>
            <w:tcW w:w="0" w:type="auto"/>
            <w:shd w:val="clear" w:color="auto" w:fill="auto"/>
            <w:noWrap/>
            <w:vAlign w:val="center"/>
            <w:hideMark/>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Аргентина</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10</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5</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r>
      <w:tr w:rsidR="008C7A93" w:rsidRPr="00DF1530" w:rsidTr="005E53F2">
        <w:trPr>
          <w:trHeight w:val="283"/>
          <w:jc w:val="center"/>
        </w:trPr>
        <w:tc>
          <w:tcPr>
            <w:tcW w:w="0" w:type="auto"/>
            <w:tcBorders>
              <w:left w:val="nil"/>
              <w:right w:val="nil"/>
            </w:tcBorders>
            <w:shd w:val="clear" w:color="auto" w:fill="D3DFEE"/>
            <w:noWrap/>
            <w:vAlign w:val="center"/>
            <w:hideMark/>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Барбадос</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11</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10</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7</w:t>
            </w:r>
          </w:p>
        </w:tc>
      </w:tr>
      <w:tr w:rsidR="008C7A93" w:rsidRPr="00DF1530" w:rsidTr="005E53F2">
        <w:trPr>
          <w:trHeight w:val="283"/>
          <w:jc w:val="center"/>
        </w:trPr>
        <w:tc>
          <w:tcPr>
            <w:tcW w:w="0" w:type="auto"/>
            <w:shd w:val="clear" w:color="auto" w:fill="auto"/>
            <w:noWrap/>
            <w:vAlign w:val="center"/>
            <w:hideMark/>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Босния и Герцеговина</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8</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4</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r>
      <w:tr w:rsidR="008C7A93" w:rsidRPr="00DF1530" w:rsidTr="005E53F2">
        <w:trPr>
          <w:trHeight w:val="283"/>
          <w:jc w:val="center"/>
        </w:trPr>
        <w:tc>
          <w:tcPr>
            <w:tcW w:w="0" w:type="auto"/>
            <w:tcBorders>
              <w:left w:val="nil"/>
              <w:right w:val="nil"/>
            </w:tcBorders>
            <w:shd w:val="clear" w:color="auto" w:fill="D3DFEE"/>
            <w:noWrap/>
            <w:vAlign w:val="center"/>
            <w:hideMark/>
          </w:tcPr>
          <w:p w:rsidR="008C7A93" w:rsidRPr="00DF1530" w:rsidRDefault="00E359B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Бразилия</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12</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r>
      <w:tr w:rsidR="008C7A93" w:rsidRPr="00DF1530" w:rsidTr="005E53F2">
        <w:trPr>
          <w:trHeight w:val="283"/>
          <w:jc w:val="center"/>
        </w:trPr>
        <w:tc>
          <w:tcPr>
            <w:tcW w:w="0" w:type="auto"/>
            <w:shd w:val="clear" w:color="auto" w:fill="auto"/>
            <w:noWrap/>
            <w:vAlign w:val="center"/>
            <w:hideMark/>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Чили</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4</w:t>
            </w:r>
          </w:p>
        </w:tc>
        <w:tc>
          <w:tcPr>
            <w:tcW w:w="1986" w:type="dxa"/>
            <w:shd w:val="clear" w:color="auto" w:fill="auto"/>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9</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r>
      <w:tr w:rsidR="008C7A93" w:rsidRPr="00DF1530" w:rsidTr="005E53F2">
        <w:trPr>
          <w:trHeight w:val="283"/>
          <w:jc w:val="center"/>
        </w:trPr>
        <w:tc>
          <w:tcPr>
            <w:tcW w:w="0" w:type="auto"/>
            <w:tcBorders>
              <w:left w:val="nil"/>
              <w:right w:val="nil"/>
            </w:tcBorders>
            <w:shd w:val="clear" w:color="auto" w:fill="D3DFEE"/>
            <w:noWrap/>
            <w:vAlign w:val="center"/>
            <w:hideMark/>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Китай</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2</w:t>
            </w:r>
          </w:p>
        </w:tc>
        <w:tc>
          <w:tcPr>
            <w:tcW w:w="1986" w:type="dxa"/>
            <w:tcBorders>
              <w:left w:val="nil"/>
              <w:right w:val="nil"/>
            </w:tcBorders>
            <w:shd w:val="clear" w:color="auto" w:fill="D3DFEE"/>
            <w:noWrap/>
            <w:vAlign w:val="center"/>
            <w:hideMark/>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8</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9</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Хорватия</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3</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2</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0</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Венгрия</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0</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3</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7</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Латвия</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8</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3</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Литва</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4</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Малайзия</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5</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2</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592D7B"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Мексика</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11</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9</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3</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3</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Панама</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4</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2</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Перу</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17</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8</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9</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Польша</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4</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3</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Румыния</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bCs/>
                <w:sz w:val="16"/>
                <w:szCs w:val="16"/>
                <w:lang w:val="ru-RU"/>
              </w:rPr>
              <w:t>6</w:t>
            </w:r>
            <w:r w:rsidR="00347E3A" w:rsidRPr="00DF1530">
              <w:rPr>
                <w:rFonts w:asciiTheme="minorBidi" w:hAnsiTheme="minorBidi" w:cstheme="minorBidi"/>
                <w:bCs/>
                <w:sz w:val="16"/>
                <w:szCs w:val="16"/>
                <w:lang w:val="ru-RU"/>
              </w:rPr>
              <w:t>,</w:t>
            </w:r>
            <w:r w:rsidRPr="00DF1530">
              <w:rPr>
                <w:rFonts w:asciiTheme="minorBidi" w:hAnsiTheme="minorBidi" w:cstheme="minorBidi"/>
                <w:bCs/>
                <w:sz w:val="16"/>
                <w:szCs w:val="16"/>
                <w:lang w:val="ru-RU"/>
              </w:rPr>
              <w:t>2</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bCs/>
                <w:sz w:val="16"/>
                <w:szCs w:val="16"/>
                <w:lang w:val="ru-RU"/>
              </w:rPr>
              <w:t>4</w:t>
            </w:r>
            <w:r w:rsidR="00347E3A" w:rsidRPr="00DF1530">
              <w:rPr>
                <w:rFonts w:asciiTheme="minorBidi" w:hAnsiTheme="minorBidi" w:cstheme="minorBidi"/>
                <w:bCs/>
                <w:sz w:val="16"/>
                <w:szCs w:val="16"/>
                <w:lang w:val="ru-RU"/>
              </w:rPr>
              <w:t>,</w:t>
            </w:r>
            <w:r w:rsidRPr="00DF1530">
              <w:rPr>
                <w:rFonts w:asciiTheme="minorBidi" w:hAnsiTheme="minorBidi" w:cstheme="minorBidi"/>
                <w:bCs/>
                <w:sz w:val="16"/>
                <w:szCs w:val="16"/>
                <w:lang w:val="ru-RU"/>
              </w:rPr>
              <w:t>2</w:t>
            </w:r>
          </w:p>
        </w:tc>
      </w:tr>
      <w:tr w:rsidR="008C7A93" w:rsidRPr="00DF1530" w:rsidTr="005E53F2">
        <w:trPr>
          <w:trHeight w:val="283"/>
          <w:jc w:val="center"/>
        </w:trPr>
        <w:tc>
          <w:tcPr>
            <w:tcW w:w="0" w:type="auto"/>
            <w:shd w:val="clear" w:color="auto" w:fill="auto"/>
            <w:noWrap/>
            <w:vAlign w:val="center"/>
          </w:tcPr>
          <w:p w:rsidR="008C7A93" w:rsidRPr="00DF1530" w:rsidRDefault="005E53F2"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Российская Федерация</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b/>
                <w:sz w:val="16"/>
                <w:szCs w:val="16"/>
                <w:lang w:val="ru-RU"/>
              </w:rPr>
              <w:t>3</w:t>
            </w:r>
            <w:r w:rsidR="00347E3A" w:rsidRPr="00DF1530">
              <w:rPr>
                <w:rFonts w:asciiTheme="minorBidi" w:hAnsiTheme="minorBidi" w:cstheme="minorBidi"/>
                <w:b/>
                <w:sz w:val="16"/>
                <w:szCs w:val="16"/>
                <w:lang w:val="ru-RU"/>
              </w:rPr>
              <w:t>,</w:t>
            </w:r>
            <w:r w:rsidRPr="00DF1530">
              <w:rPr>
                <w:rFonts w:asciiTheme="minorBidi" w:hAnsiTheme="minorBidi" w:cstheme="minorBidi"/>
                <w:b/>
                <w:sz w:val="16"/>
                <w:szCs w:val="16"/>
                <w:lang w:val="ru-RU"/>
              </w:rPr>
              <w:t>0</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b/>
                <w:sz w:val="16"/>
                <w:szCs w:val="16"/>
                <w:lang w:val="ru-RU"/>
              </w:rPr>
              <w:t>2</w:t>
            </w:r>
            <w:r w:rsidR="00347E3A" w:rsidRPr="00DF1530">
              <w:rPr>
                <w:rFonts w:asciiTheme="minorBidi" w:hAnsiTheme="minorBidi" w:cstheme="minorBidi"/>
                <w:b/>
                <w:sz w:val="16"/>
                <w:szCs w:val="16"/>
                <w:lang w:val="ru-RU"/>
              </w:rPr>
              <w:t>,</w:t>
            </w:r>
            <w:r w:rsidRPr="00DF1530">
              <w:rPr>
                <w:rFonts w:asciiTheme="minorBidi" w:hAnsiTheme="minorBidi" w:cstheme="minorBidi"/>
                <w:b/>
                <w:sz w:val="16"/>
                <w:szCs w:val="16"/>
                <w:lang w:val="ru-RU"/>
              </w:rPr>
              <w:t>8</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Словацкая Республика</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b/>
                <w:bCs/>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1</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b/>
                <w:bCs/>
                <w:sz w:val="16"/>
                <w:szCs w:val="16"/>
                <w:lang w:val="ru-RU"/>
              </w:rPr>
            </w:pPr>
            <w:r w:rsidRPr="00DF1530">
              <w:rPr>
                <w:rFonts w:asciiTheme="minorBidi" w:hAnsiTheme="minorBidi" w:cstheme="minorBidi"/>
                <w:sz w:val="16"/>
                <w:szCs w:val="16"/>
                <w:lang w:val="ru-RU"/>
              </w:rPr>
              <w:t>3</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Южно-Африканская Республика</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6</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6</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4</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0</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Таиланд</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7</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9</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10</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4</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Тринидад и Тобаго</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11</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4</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8</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5</w:t>
            </w:r>
          </w:p>
        </w:tc>
      </w:tr>
      <w:tr w:rsidR="008C7A93" w:rsidRPr="00DF1530" w:rsidTr="005E53F2">
        <w:trPr>
          <w:trHeight w:val="283"/>
          <w:jc w:val="center"/>
        </w:trPr>
        <w:tc>
          <w:tcPr>
            <w:tcW w:w="0" w:type="auto"/>
            <w:tcBorders>
              <w:left w:val="nil"/>
              <w:right w:val="nil"/>
            </w:tcBorders>
            <w:shd w:val="clear" w:color="auto" w:fill="D3DFEE"/>
            <w:noWrap/>
            <w:vAlign w:val="center"/>
          </w:tcPr>
          <w:p w:rsidR="008C7A93" w:rsidRPr="00DF1530" w:rsidRDefault="00C359CC"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Турция</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5</w:t>
            </w:r>
          </w:p>
        </w:tc>
        <w:tc>
          <w:tcPr>
            <w:tcW w:w="1986" w:type="dxa"/>
            <w:tcBorders>
              <w:left w:val="nil"/>
              <w:right w:val="nil"/>
            </w:tcBorders>
            <w:shd w:val="clear" w:color="auto" w:fill="D3DFEE"/>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4</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7</w:t>
            </w:r>
          </w:p>
        </w:tc>
      </w:tr>
      <w:tr w:rsidR="008C7A93" w:rsidRPr="00DF1530" w:rsidTr="005E53F2">
        <w:trPr>
          <w:trHeight w:val="283"/>
          <w:jc w:val="center"/>
        </w:trPr>
        <w:tc>
          <w:tcPr>
            <w:tcW w:w="0" w:type="auto"/>
            <w:shd w:val="clear" w:color="auto" w:fill="auto"/>
            <w:noWrap/>
            <w:vAlign w:val="center"/>
          </w:tcPr>
          <w:p w:rsidR="008C7A93" w:rsidRPr="00DF1530" w:rsidRDefault="00347E3A" w:rsidP="005E53F2">
            <w:pPr>
              <w:keepNext/>
              <w:keepLines/>
              <w:jc w:val="left"/>
              <w:rPr>
                <w:rFonts w:asciiTheme="minorBidi" w:hAnsiTheme="minorBidi" w:cstheme="minorBidi"/>
                <w:b/>
                <w:bCs/>
                <w:sz w:val="16"/>
                <w:szCs w:val="16"/>
                <w:lang w:val="ru-RU"/>
              </w:rPr>
            </w:pPr>
            <w:r w:rsidRPr="00DF1530">
              <w:rPr>
                <w:rFonts w:asciiTheme="minorBidi" w:hAnsiTheme="minorBidi" w:cstheme="minorBidi"/>
                <w:b/>
                <w:bCs/>
                <w:sz w:val="16"/>
                <w:szCs w:val="16"/>
                <w:lang w:val="ru-RU"/>
              </w:rPr>
              <w:t>Уругвай</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8</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5</w:t>
            </w:r>
          </w:p>
        </w:tc>
        <w:tc>
          <w:tcPr>
            <w:tcW w:w="1986" w:type="dxa"/>
            <w:shd w:val="clear" w:color="auto" w:fill="auto"/>
            <w:noWrap/>
            <w:vAlign w:val="center"/>
          </w:tcPr>
          <w:p w:rsidR="008C7A93" w:rsidRPr="00DF1530" w:rsidRDefault="008C7A93" w:rsidP="005E53F2">
            <w:pPr>
              <w:keepNext/>
              <w:keepLines/>
              <w:tabs>
                <w:tab w:val="clear" w:pos="850"/>
                <w:tab w:val="clear" w:pos="1191"/>
                <w:tab w:val="clear" w:pos="1531"/>
              </w:tabs>
              <w:jc w:val="center"/>
              <w:rPr>
                <w:rFonts w:asciiTheme="minorBidi" w:hAnsiTheme="minorBidi" w:cstheme="minorBidi"/>
                <w:sz w:val="16"/>
                <w:szCs w:val="16"/>
                <w:lang w:val="ru-RU"/>
              </w:rPr>
            </w:pPr>
            <w:r w:rsidRPr="00DF1530">
              <w:rPr>
                <w:rFonts w:asciiTheme="minorBidi" w:hAnsiTheme="minorBidi" w:cstheme="minorBidi"/>
                <w:sz w:val="16"/>
                <w:szCs w:val="16"/>
                <w:lang w:val="ru-RU"/>
              </w:rPr>
              <w:t>5</w:t>
            </w:r>
            <w:r w:rsidR="00347E3A" w:rsidRPr="00DF1530">
              <w:rPr>
                <w:rFonts w:asciiTheme="minorBidi" w:hAnsiTheme="minorBidi" w:cstheme="minorBidi"/>
                <w:sz w:val="16"/>
                <w:szCs w:val="16"/>
                <w:lang w:val="ru-RU"/>
              </w:rPr>
              <w:t>,</w:t>
            </w:r>
            <w:r w:rsidRPr="00DF1530">
              <w:rPr>
                <w:rFonts w:asciiTheme="minorBidi" w:hAnsiTheme="minorBidi" w:cstheme="minorBidi"/>
                <w:sz w:val="16"/>
                <w:szCs w:val="16"/>
                <w:lang w:val="ru-RU"/>
              </w:rPr>
              <w:t>7</w:t>
            </w:r>
          </w:p>
        </w:tc>
      </w:tr>
    </w:tbl>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976BC2" w:rsidRPr="00BA51F1">
        <w:rPr>
          <w:lang w:val="en-US"/>
        </w:rPr>
        <w:t>Global Entrepreneurship Monitor</w:t>
      </w:r>
      <w:r w:rsidR="008C7A93" w:rsidRPr="00BA51F1">
        <w:rPr>
          <w:lang w:val="en-US"/>
        </w:rPr>
        <w:t xml:space="preserve"> Global Report (2013).</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976BC2" w:rsidRPr="00DF1530">
        <w:rPr>
          <w:lang w:val="ru-RU"/>
        </w:rPr>
        <w:t xml:space="preserve"> С другой стороны, одна из существующих</w:t>
      </w:r>
      <w:r w:rsidR="008C7A93" w:rsidRPr="00DF1530">
        <w:rPr>
          <w:lang w:val="ru-RU"/>
        </w:rPr>
        <w:t xml:space="preserve"> </w:t>
      </w:r>
      <w:r w:rsidR="00976BC2" w:rsidRPr="00DF1530">
        <w:rPr>
          <w:lang w:val="ru-RU"/>
        </w:rPr>
        <w:t>сильных сторон российской экономики</w:t>
      </w:r>
      <w:r w:rsidR="008C7A93" w:rsidRPr="00DF1530">
        <w:rPr>
          <w:lang w:val="ru-RU"/>
        </w:rPr>
        <w:t xml:space="preserve"> </w:t>
      </w:r>
      <w:r w:rsidR="00976BC2" w:rsidRPr="00DF1530">
        <w:rPr>
          <w:lang w:val="ru-RU"/>
        </w:rPr>
        <w:t xml:space="preserve">– заметное </w:t>
      </w:r>
      <w:r w:rsidR="003B14FD" w:rsidRPr="00DF1530">
        <w:rPr>
          <w:lang w:val="ru-RU"/>
        </w:rPr>
        <w:t xml:space="preserve">представительство </w:t>
      </w:r>
      <w:r w:rsidR="00347E3A" w:rsidRPr="00DF1530">
        <w:rPr>
          <w:lang w:val="ru-RU"/>
        </w:rPr>
        <w:t>предпринимател</w:t>
      </w:r>
      <w:r w:rsidR="00976BC2" w:rsidRPr="00DF1530">
        <w:rPr>
          <w:lang w:val="ru-RU"/>
        </w:rPr>
        <w:t>ей-женщин</w:t>
      </w:r>
      <w:r w:rsidR="008C7A93" w:rsidRPr="00DF1530">
        <w:rPr>
          <w:lang w:val="ru-RU"/>
        </w:rPr>
        <w:t xml:space="preserve">, </w:t>
      </w:r>
      <w:r w:rsidR="00976BC2" w:rsidRPr="00DF1530">
        <w:rPr>
          <w:lang w:val="ru-RU"/>
        </w:rPr>
        <w:t>поэтому политика, направленная на рост числа новых предприятий, повлияет на обе половины населения Российской Федерации</w:t>
      </w:r>
      <w:r w:rsidR="008C7A93" w:rsidRPr="00DF1530">
        <w:rPr>
          <w:lang w:val="ru-RU"/>
        </w:rPr>
        <w:t xml:space="preserve">. </w:t>
      </w:r>
      <w:r w:rsidR="00976BC2" w:rsidRPr="00DF1530">
        <w:rPr>
          <w:lang w:val="ru-RU"/>
        </w:rPr>
        <w:t xml:space="preserve">Согласно </w:t>
      </w:r>
      <w:r w:rsidR="008C7A93" w:rsidRPr="00DF1530">
        <w:rPr>
          <w:lang w:val="ru-RU"/>
        </w:rPr>
        <w:t xml:space="preserve">GEM, </w:t>
      </w:r>
      <w:r w:rsidR="00976BC2" w:rsidRPr="00DF1530">
        <w:rPr>
          <w:lang w:val="ru-RU"/>
        </w:rPr>
        <w:t>в 2010 году в Российской Федерации на женщин приходилось приблизительно</w:t>
      </w:r>
      <w:r w:rsidR="008C7A93" w:rsidRPr="00DF1530">
        <w:rPr>
          <w:lang w:val="ru-RU"/>
        </w:rPr>
        <w:t xml:space="preserve"> 44% </w:t>
      </w:r>
      <w:r w:rsidR="00976BC2" w:rsidRPr="00DF1530">
        <w:rPr>
          <w:lang w:val="ru-RU"/>
        </w:rPr>
        <w:t xml:space="preserve">всех новых </w:t>
      </w:r>
      <w:r w:rsidR="00347E3A" w:rsidRPr="00DF1530">
        <w:rPr>
          <w:lang w:val="ru-RU"/>
        </w:rPr>
        <w:t>предпринимател</w:t>
      </w:r>
      <w:r w:rsidR="00976BC2" w:rsidRPr="00DF1530">
        <w:rPr>
          <w:lang w:val="ru-RU"/>
        </w:rPr>
        <w:t>ей</w:t>
      </w:r>
      <w:r w:rsidR="008C7A93" w:rsidRPr="00DF1530">
        <w:rPr>
          <w:lang w:val="ru-RU"/>
        </w:rPr>
        <w:t xml:space="preserve">, 40% </w:t>
      </w:r>
      <w:r w:rsidR="00976BC2" w:rsidRPr="00DF1530">
        <w:rPr>
          <w:lang w:val="ru-RU"/>
        </w:rPr>
        <w:t xml:space="preserve">всех владельцев новых предприятий и </w:t>
      </w:r>
      <w:r w:rsidR="008C7A93" w:rsidRPr="00DF1530">
        <w:rPr>
          <w:lang w:val="ru-RU"/>
        </w:rPr>
        <w:t xml:space="preserve">47% </w:t>
      </w:r>
      <w:r w:rsidR="00976BC2" w:rsidRPr="00DF1530">
        <w:rPr>
          <w:lang w:val="ru-RU"/>
        </w:rPr>
        <w:t xml:space="preserve">действующих </w:t>
      </w:r>
      <w:r w:rsidR="00347E3A" w:rsidRPr="00DF1530">
        <w:rPr>
          <w:lang w:val="ru-RU"/>
        </w:rPr>
        <w:t>предпринимател</w:t>
      </w:r>
      <w:r w:rsidR="00976BC2" w:rsidRPr="00DF1530">
        <w:rPr>
          <w:lang w:val="ru-RU"/>
        </w:rPr>
        <w:t>ей</w:t>
      </w:r>
      <w:r w:rsidR="008C7A93" w:rsidRPr="00DF1530">
        <w:rPr>
          <w:lang w:val="ru-RU"/>
        </w:rPr>
        <w:t xml:space="preserve">. </w:t>
      </w:r>
    </w:p>
    <w:p w:rsidR="008C7A93" w:rsidRPr="00DF1530" w:rsidRDefault="00E92D5B" w:rsidP="008C7A93">
      <w:pPr>
        <w:pStyle w:val="31"/>
        <w:rPr>
          <w:lang w:val="ru-RU"/>
        </w:rPr>
      </w:pPr>
      <w:r w:rsidRPr="00DF1530">
        <w:rPr>
          <w:lang w:val="ru-RU"/>
        </w:rPr>
        <w:lastRenderedPageBreak/>
        <w:t xml:space="preserve">Негативное </w:t>
      </w:r>
      <w:r w:rsidR="001E182F" w:rsidRPr="00DF1530">
        <w:rPr>
          <w:lang w:val="ru-RU"/>
        </w:rPr>
        <w:t xml:space="preserve">отношение к </w:t>
      </w:r>
      <w:r w:rsidRPr="00DF1530">
        <w:rPr>
          <w:lang w:val="ru-RU"/>
        </w:rPr>
        <w:t xml:space="preserve">возможности осуществления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7268B" w:rsidRPr="00DF1530">
        <w:rPr>
          <w:lang w:val="ru-RU"/>
        </w:rPr>
        <w:t xml:space="preserve">Увеличение темпов образования новых предприятий и, таким образом, </w:t>
      </w:r>
      <w:r w:rsidR="002B672B" w:rsidRPr="00DF1530">
        <w:rPr>
          <w:lang w:val="ru-RU"/>
        </w:rPr>
        <w:t xml:space="preserve">появление </w:t>
      </w:r>
      <w:r w:rsidR="0047268B" w:rsidRPr="00DF1530">
        <w:rPr>
          <w:lang w:val="ru-RU"/>
        </w:rPr>
        <w:t xml:space="preserve">большего числа </w:t>
      </w:r>
      <w:r w:rsidR="00F736B7" w:rsidRPr="00DF1530">
        <w:rPr>
          <w:lang w:val="ru-RU"/>
        </w:rPr>
        <w:t>МСП</w:t>
      </w:r>
      <w:r w:rsidR="008C7A93" w:rsidRPr="00DF1530">
        <w:rPr>
          <w:lang w:val="ru-RU"/>
        </w:rPr>
        <w:t xml:space="preserve"> </w:t>
      </w:r>
      <w:r w:rsidR="0047268B" w:rsidRPr="00DF1530">
        <w:rPr>
          <w:lang w:val="ru-RU"/>
        </w:rPr>
        <w:t xml:space="preserve">и </w:t>
      </w:r>
      <w:r w:rsidR="00347E3A" w:rsidRPr="00DF1530">
        <w:rPr>
          <w:lang w:val="ru-RU"/>
        </w:rPr>
        <w:t>предпринимател</w:t>
      </w:r>
      <w:r w:rsidR="0047268B" w:rsidRPr="00DF1530">
        <w:rPr>
          <w:lang w:val="ru-RU"/>
        </w:rPr>
        <w:t xml:space="preserve">ей может потребовать изменения отношения к </w:t>
      </w:r>
      <w:r w:rsidR="00834072" w:rsidRPr="00DF1530">
        <w:rPr>
          <w:lang w:val="ru-RU"/>
        </w:rPr>
        <w:t>предпринимательск</w:t>
      </w:r>
      <w:r w:rsidR="0047268B" w:rsidRPr="00DF1530">
        <w:rPr>
          <w:lang w:val="ru-RU"/>
        </w:rPr>
        <w:t>ой</w:t>
      </w:r>
      <w:r w:rsidR="00834072" w:rsidRPr="00DF1530">
        <w:rPr>
          <w:lang w:val="ru-RU"/>
        </w:rPr>
        <w:t xml:space="preserve"> деятельност</w:t>
      </w:r>
      <w:r w:rsidR="0047268B" w:rsidRPr="00DF1530">
        <w:rPr>
          <w:lang w:val="ru-RU"/>
        </w:rPr>
        <w:t>и</w:t>
      </w:r>
      <w:r w:rsidR="008C7A93" w:rsidRPr="00DF1530">
        <w:rPr>
          <w:lang w:val="ru-RU"/>
        </w:rPr>
        <w:t xml:space="preserve"> </w:t>
      </w:r>
      <w:r w:rsidR="0047268B" w:rsidRPr="00DF1530">
        <w:rPr>
          <w:lang w:val="ru-RU"/>
        </w:rPr>
        <w:t>среди населения Российской Федерации</w:t>
      </w:r>
      <w:r w:rsidR="008C7A93" w:rsidRPr="00DF1530">
        <w:rPr>
          <w:lang w:val="ru-RU"/>
        </w:rPr>
        <w:t xml:space="preserve">. </w:t>
      </w:r>
      <w:r w:rsidR="0047268B" w:rsidRPr="00DF1530">
        <w:rPr>
          <w:lang w:val="ru-RU"/>
        </w:rPr>
        <w:t>Несмотря на</w:t>
      </w:r>
      <w:r w:rsidR="008C7A93" w:rsidRPr="00DF1530">
        <w:rPr>
          <w:lang w:val="ru-RU"/>
        </w:rPr>
        <w:t xml:space="preserve"> </w:t>
      </w:r>
      <w:r w:rsidR="0047268B" w:rsidRPr="00DF1530">
        <w:rPr>
          <w:lang w:val="ru-RU"/>
        </w:rPr>
        <w:t xml:space="preserve">то, что две трети взрослого населения Российской Федерации считает, что </w:t>
      </w:r>
      <w:r w:rsidR="00834072" w:rsidRPr="00DF1530">
        <w:rPr>
          <w:lang w:val="ru-RU"/>
        </w:rPr>
        <w:t>предпринимательская деятельность</w:t>
      </w:r>
      <w:r w:rsidR="008C7A93" w:rsidRPr="00DF1530">
        <w:rPr>
          <w:lang w:val="ru-RU"/>
        </w:rPr>
        <w:t xml:space="preserve"> </w:t>
      </w:r>
      <w:r w:rsidR="0047268B" w:rsidRPr="00DF1530">
        <w:rPr>
          <w:lang w:val="ru-RU"/>
        </w:rPr>
        <w:t>в целом хороший карьерный выбор</w:t>
      </w:r>
      <w:r w:rsidR="008C7A93" w:rsidRPr="00DF1530">
        <w:rPr>
          <w:lang w:val="ru-RU"/>
        </w:rPr>
        <w:t xml:space="preserve">, </w:t>
      </w:r>
      <w:r w:rsidR="0047268B" w:rsidRPr="00DF1530">
        <w:rPr>
          <w:lang w:val="ru-RU"/>
        </w:rPr>
        <w:t>есть некоторые проблемные области</w:t>
      </w:r>
      <w:r w:rsidR="008C7A93" w:rsidRPr="00DF1530">
        <w:rPr>
          <w:lang w:val="ru-RU"/>
        </w:rPr>
        <w:t xml:space="preserve">. </w:t>
      </w:r>
      <w:r w:rsidR="00592D7B" w:rsidRPr="00DF1530">
        <w:rPr>
          <w:lang w:val="ru-RU"/>
        </w:rPr>
        <w:t>К примеру</w:t>
      </w:r>
      <w:r w:rsidR="008C7A93" w:rsidRPr="00DF1530">
        <w:rPr>
          <w:lang w:val="ru-RU"/>
        </w:rPr>
        <w:t xml:space="preserve">, </w:t>
      </w:r>
      <w:r w:rsidR="0047268B" w:rsidRPr="00DF1530">
        <w:rPr>
          <w:lang w:val="ru-RU"/>
        </w:rPr>
        <w:t xml:space="preserve">согласно </w:t>
      </w:r>
      <w:r w:rsidR="008C7A93" w:rsidRPr="00DF1530">
        <w:rPr>
          <w:lang w:val="ru-RU"/>
        </w:rPr>
        <w:t>GEM</w:t>
      </w:r>
      <w:r w:rsidR="0047268B" w:rsidRPr="00DF1530">
        <w:rPr>
          <w:lang w:val="ru-RU"/>
        </w:rPr>
        <w:t>,</w:t>
      </w:r>
      <w:r w:rsidR="008C7A93" w:rsidRPr="00DF1530">
        <w:rPr>
          <w:lang w:val="ru-RU"/>
        </w:rPr>
        <w:t xml:space="preserve"> </w:t>
      </w:r>
      <w:r w:rsidR="00701FAE" w:rsidRPr="00DF1530">
        <w:rPr>
          <w:lang w:val="ru-RU"/>
        </w:rPr>
        <w:t>в 2013 году</w:t>
      </w:r>
      <w:r w:rsidR="008C7A93" w:rsidRPr="00DF1530">
        <w:rPr>
          <w:lang w:val="ru-RU"/>
        </w:rPr>
        <w:t xml:space="preserve"> </w:t>
      </w:r>
      <w:r w:rsidR="0047268B" w:rsidRPr="00DF1530">
        <w:rPr>
          <w:lang w:val="ru-RU"/>
        </w:rPr>
        <w:t>только</w:t>
      </w:r>
      <w:r w:rsidR="008C7A93" w:rsidRPr="00DF1530">
        <w:rPr>
          <w:lang w:val="ru-RU"/>
        </w:rPr>
        <w:t xml:space="preserve"> 18% </w:t>
      </w:r>
      <w:r w:rsidR="0047268B" w:rsidRPr="00DF1530">
        <w:rPr>
          <w:lang w:val="ru-RU"/>
        </w:rPr>
        <w:t>взрослого населения считали, что в Российской Федерации хорошие возможности</w:t>
      </w:r>
      <w:r w:rsidR="008C7A93" w:rsidRPr="00DF1530">
        <w:rPr>
          <w:lang w:val="ru-RU"/>
        </w:rPr>
        <w:t xml:space="preserve"> </w:t>
      </w:r>
      <w:r w:rsidR="0047268B" w:rsidRPr="00DF1530">
        <w:rPr>
          <w:lang w:val="ru-RU"/>
        </w:rPr>
        <w:t xml:space="preserve">для создания предприятия, </w:t>
      </w:r>
      <w:r w:rsidR="00F736B7" w:rsidRPr="00DF1530">
        <w:rPr>
          <w:lang w:val="ru-RU"/>
        </w:rPr>
        <w:t>по сравнению с</w:t>
      </w:r>
      <w:r w:rsidR="0047268B" w:rsidRPr="00DF1530">
        <w:rPr>
          <w:lang w:val="ru-RU"/>
        </w:rPr>
        <w:t xml:space="preserve">о средним показателем </w:t>
      </w:r>
      <w:r w:rsidR="008C7A93" w:rsidRPr="00DF1530">
        <w:rPr>
          <w:lang w:val="ru-RU"/>
        </w:rPr>
        <w:t xml:space="preserve">29% </w:t>
      </w:r>
      <w:r w:rsidR="0047268B" w:rsidRPr="00DF1530">
        <w:rPr>
          <w:lang w:val="ru-RU"/>
        </w:rPr>
        <w:t>в Европейском Союзе</w:t>
      </w:r>
      <w:r w:rsidR="008C7A93" w:rsidRPr="00DF1530">
        <w:rPr>
          <w:lang w:val="ru-RU"/>
        </w:rPr>
        <w:t xml:space="preserve"> </w:t>
      </w:r>
      <w:r w:rsidR="0047268B" w:rsidRPr="00DF1530">
        <w:rPr>
          <w:lang w:val="ru-RU"/>
        </w:rPr>
        <w:t xml:space="preserve">и </w:t>
      </w:r>
      <w:r w:rsidR="008C7A93" w:rsidRPr="00DF1530">
        <w:rPr>
          <w:lang w:val="ru-RU"/>
        </w:rPr>
        <w:t xml:space="preserve">37% </w:t>
      </w:r>
      <w:r w:rsidR="0047268B" w:rsidRPr="00DF1530">
        <w:rPr>
          <w:lang w:val="ru-RU"/>
        </w:rPr>
        <w:t>в странах Европы, не входящих в Европейский Союз</w:t>
      </w:r>
      <w:r w:rsidR="008C7A93" w:rsidRPr="00DF1530">
        <w:rPr>
          <w:lang w:val="ru-RU"/>
        </w:rPr>
        <w:t xml:space="preserve">. </w:t>
      </w:r>
      <w:r w:rsidR="0047268B" w:rsidRPr="00DF1530">
        <w:rPr>
          <w:lang w:val="ru-RU"/>
        </w:rPr>
        <w:t>Важно отметить, что только</w:t>
      </w:r>
      <w:r w:rsidR="008C7A93" w:rsidRPr="00DF1530">
        <w:rPr>
          <w:lang w:val="ru-RU"/>
        </w:rPr>
        <w:t xml:space="preserve"> 2</w:t>
      </w:r>
      <w:r w:rsidR="0047268B" w:rsidRPr="00DF1530">
        <w:rPr>
          <w:lang w:val="ru-RU"/>
        </w:rPr>
        <w:t>,</w:t>
      </w:r>
      <w:r w:rsidR="008C7A93" w:rsidRPr="00DF1530">
        <w:rPr>
          <w:lang w:val="ru-RU"/>
        </w:rPr>
        <w:t xml:space="preserve">6% </w:t>
      </w:r>
      <w:r w:rsidR="0047268B" w:rsidRPr="00DF1530">
        <w:rPr>
          <w:lang w:val="ru-RU"/>
        </w:rPr>
        <w:t>россиян заявили, что хотят создать предприятие в ближайшие три года</w:t>
      </w:r>
      <w:r w:rsidR="008C7A93" w:rsidRPr="00DF1530">
        <w:rPr>
          <w:lang w:val="ru-RU"/>
        </w:rPr>
        <w:t xml:space="preserve">, </w:t>
      </w:r>
      <w:r w:rsidR="00F736B7" w:rsidRPr="00DF1530">
        <w:rPr>
          <w:lang w:val="ru-RU"/>
        </w:rPr>
        <w:t xml:space="preserve">по сравнению </w:t>
      </w:r>
      <w:r w:rsidR="0047268B" w:rsidRPr="00DF1530">
        <w:rPr>
          <w:lang w:val="ru-RU"/>
        </w:rPr>
        <w:t xml:space="preserve">со средним показателем </w:t>
      </w:r>
      <w:r w:rsidR="008C7A93" w:rsidRPr="00DF1530">
        <w:rPr>
          <w:lang w:val="ru-RU"/>
        </w:rPr>
        <w:t xml:space="preserve">25% </w:t>
      </w:r>
      <w:r w:rsidR="00E5709C" w:rsidRPr="00DF1530">
        <w:rPr>
          <w:lang w:val="ru-RU"/>
        </w:rPr>
        <w:t>в других странах с ориентированной на эффективность экономикой</w:t>
      </w:r>
      <w:r w:rsidR="008C7A93" w:rsidRPr="00DF1530">
        <w:rPr>
          <w:lang w:val="ru-RU"/>
        </w:rPr>
        <w:t xml:space="preserve">, </w:t>
      </w:r>
      <w:r w:rsidR="00E5709C" w:rsidRPr="00DF1530">
        <w:rPr>
          <w:lang w:val="ru-RU"/>
        </w:rPr>
        <w:t xml:space="preserve">и почти три четверти россиян, не являющихся </w:t>
      </w:r>
      <w:r w:rsidR="00347E3A" w:rsidRPr="00DF1530">
        <w:rPr>
          <w:lang w:val="ru-RU"/>
        </w:rPr>
        <w:t>предпринимател</w:t>
      </w:r>
      <w:r w:rsidR="00E5709C" w:rsidRPr="00DF1530">
        <w:rPr>
          <w:lang w:val="ru-RU"/>
        </w:rPr>
        <w:t>ями,</w:t>
      </w:r>
      <w:r w:rsidR="008C7A93" w:rsidRPr="00DF1530">
        <w:rPr>
          <w:lang w:val="ru-RU"/>
        </w:rPr>
        <w:t xml:space="preserve"> </w:t>
      </w:r>
      <w:r w:rsidR="00E5709C" w:rsidRPr="00DF1530">
        <w:rPr>
          <w:lang w:val="ru-RU"/>
        </w:rPr>
        <w:t xml:space="preserve">считают, что не имеют навыков и квалификации для </w:t>
      </w:r>
      <w:r w:rsidR="007B0000" w:rsidRPr="00DF1530">
        <w:rPr>
          <w:lang w:val="ru-RU"/>
        </w:rPr>
        <w:t xml:space="preserve">создания </w:t>
      </w:r>
      <w:r w:rsidR="006A6F70" w:rsidRPr="00DF1530">
        <w:rPr>
          <w:lang w:val="ru-RU"/>
        </w:rPr>
        <w:t xml:space="preserve">своего </w:t>
      </w:r>
      <w:r w:rsidR="007B0000" w:rsidRPr="00DF1530">
        <w:rPr>
          <w:lang w:val="ru-RU"/>
        </w:rPr>
        <w:t>предприятия</w:t>
      </w:r>
      <w:r w:rsidR="008C7A93" w:rsidRPr="00DF1530">
        <w:rPr>
          <w:lang w:val="ru-RU"/>
        </w:rPr>
        <w:t xml:space="preserve">. </w:t>
      </w:r>
    </w:p>
    <w:p w:rsidR="008C7A93" w:rsidRPr="00DF1530" w:rsidRDefault="00C51995" w:rsidP="008C7A93">
      <w:pPr>
        <w:pStyle w:val="31"/>
        <w:rPr>
          <w:lang w:val="ru-RU"/>
        </w:rPr>
      </w:pPr>
      <w:r w:rsidRPr="00DF1530">
        <w:rPr>
          <w:lang w:val="ru-RU"/>
        </w:rPr>
        <w:t xml:space="preserve">Проблема </w:t>
      </w:r>
      <w:r w:rsidR="00F936ED" w:rsidRPr="00DF1530">
        <w:rPr>
          <w:lang w:val="ru-RU"/>
        </w:rPr>
        <w:t>распространен</w:t>
      </w:r>
      <w:r w:rsidR="00471BCA" w:rsidRPr="00DF1530">
        <w:rPr>
          <w:lang w:val="ru-RU"/>
        </w:rPr>
        <w:t xml:space="preserve">ности </w:t>
      </w:r>
      <w:r w:rsidR="002D4AC0" w:rsidRPr="00DF1530">
        <w:rPr>
          <w:lang w:val="ru-RU"/>
        </w:rPr>
        <w:t>неофициальной</w:t>
      </w:r>
      <w:r w:rsidR="006F45C8" w:rsidRPr="00DF1530">
        <w:rPr>
          <w:lang w:val="ru-RU"/>
        </w:rPr>
        <w:t xml:space="preserve"> экономической деятельности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27</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679F9" w:rsidRPr="00DF1530">
        <w:rPr>
          <w:lang w:val="ru-RU"/>
        </w:rPr>
        <w:t xml:space="preserve">Отчасти отставание в количестве официальных </w:t>
      </w:r>
      <w:r w:rsidR="00834072" w:rsidRPr="00DF1530">
        <w:rPr>
          <w:lang w:val="ru-RU"/>
        </w:rPr>
        <w:t>МСП</w:t>
      </w:r>
      <w:r w:rsidR="008C7A93" w:rsidRPr="00DF1530">
        <w:rPr>
          <w:lang w:val="ru-RU"/>
        </w:rPr>
        <w:t xml:space="preserve"> </w:t>
      </w:r>
      <w:r w:rsidR="00C679F9" w:rsidRPr="00DF1530">
        <w:rPr>
          <w:lang w:val="ru-RU"/>
        </w:rPr>
        <w:t xml:space="preserve">и </w:t>
      </w:r>
      <w:r w:rsidR="00834072" w:rsidRPr="00DF1530">
        <w:rPr>
          <w:lang w:val="ru-RU"/>
        </w:rPr>
        <w:t>предпринимател</w:t>
      </w:r>
      <w:r w:rsidR="00AF521F" w:rsidRPr="00DF1530">
        <w:rPr>
          <w:lang w:val="ru-RU"/>
        </w:rPr>
        <w:t xml:space="preserve">ей </w:t>
      </w:r>
      <w:r w:rsidR="00834072" w:rsidRPr="00DF1530">
        <w:rPr>
          <w:lang w:val="ru-RU"/>
        </w:rPr>
        <w:t>в Российской Федерации</w:t>
      </w:r>
      <w:r w:rsidR="008C7A93" w:rsidRPr="00DF1530">
        <w:rPr>
          <w:lang w:val="ru-RU"/>
        </w:rPr>
        <w:t xml:space="preserve">, </w:t>
      </w:r>
      <w:r w:rsidR="00AF521F" w:rsidRPr="00DF1530">
        <w:rPr>
          <w:lang w:val="ru-RU"/>
        </w:rPr>
        <w:t xml:space="preserve">учитываемых </w:t>
      </w:r>
      <w:r w:rsidR="00C679F9" w:rsidRPr="00DF1530">
        <w:rPr>
          <w:lang w:val="ru-RU"/>
        </w:rPr>
        <w:t xml:space="preserve">в официальных </w:t>
      </w:r>
      <w:r w:rsidR="00AF521F" w:rsidRPr="00DF1530">
        <w:rPr>
          <w:lang w:val="ru-RU"/>
        </w:rPr>
        <w:t xml:space="preserve">коммерческих </w:t>
      </w:r>
      <w:r w:rsidR="00C679F9" w:rsidRPr="00DF1530">
        <w:rPr>
          <w:lang w:val="ru-RU"/>
        </w:rPr>
        <w:t xml:space="preserve">реестрах, отражает </w:t>
      </w:r>
      <w:r w:rsidR="00834072" w:rsidRPr="00DF1530">
        <w:rPr>
          <w:lang w:val="ru-RU"/>
        </w:rPr>
        <w:t>сравнительно</w:t>
      </w:r>
      <w:r w:rsidR="008C7A93" w:rsidRPr="00DF1530">
        <w:rPr>
          <w:lang w:val="ru-RU"/>
        </w:rPr>
        <w:t xml:space="preserve"> </w:t>
      </w:r>
      <w:r w:rsidR="00AF521F" w:rsidRPr="00DF1530">
        <w:rPr>
          <w:lang w:val="ru-RU"/>
        </w:rPr>
        <w:t xml:space="preserve">распространенный </w:t>
      </w:r>
      <w:r w:rsidR="002D4AC0" w:rsidRPr="00DF1530">
        <w:rPr>
          <w:lang w:val="ru-RU"/>
        </w:rPr>
        <w:t>неофициальный</w:t>
      </w:r>
      <w:r w:rsidR="00C679F9" w:rsidRPr="00DF1530">
        <w:rPr>
          <w:lang w:val="ru-RU"/>
        </w:rPr>
        <w:t xml:space="preserve"> сектор</w:t>
      </w:r>
      <w:r w:rsidR="008C7A93" w:rsidRPr="00DF1530">
        <w:rPr>
          <w:lang w:val="ru-RU"/>
        </w:rPr>
        <w:t xml:space="preserve">. </w:t>
      </w:r>
      <w:r w:rsidR="00F736B7" w:rsidRPr="00DF1530">
        <w:rPr>
          <w:lang w:val="ru-RU"/>
        </w:rPr>
        <w:t>Хотя</w:t>
      </w:r>
      <w:r w:rsidR="008C7A93" w:rsidRPr="00DF1530">
        <w:rPr>
          <w:lang w:val="ru-RU"/>
        </w:rPr>
        <w:t xml:space="preserve"> </w:t>
      </w:r>
      <w:r w:rsidR="00C679F9" w:rsidRPr="00DF1530">
        <w:rPr>
          <w:lang w:val="ru-RU"/>
        </w:rPr>
        <w:t>трудно привести точные цифры</w:t>
      </w:r>
      <w:r w:rsidR="008C7A93" w:rsidRPr="00DF1530">
        <w:rPr>
          <w:lang w:val="ru-RU"/>
        </w:rPr>
        <w:t xml:space="preserve">, </w:t>
      </w:r>
      <w:r w:rsidR="00C679F9" w:rsidRPr="00DF1530">
        <w:rPr>
          <w:lang w:val="ru-RU"/>
        </w:rPr>
        <w:t>очевидно, что многие работают неофициально</w:t>
      </w:r>
      <w:r w:rsidR="008C7A93" w:rsidRPr="00DF1530">
        <w:rPr>
          <w:lang w:val="ru-RU"/>
        </w:rPr>
        <w:t xml:space="preserve"> </w:t>
      </w:r>
      <w:r w:rsidR="00C679F9" w:rsidRPr="00DF1530">
        <w:rPr>
          <w:lang w:val="ru-RU"/>
        </w:rPr>
        <w:t>в качестве лиц, занимающихся индивидуальной трудовой или предпринимательской деятельностью,</w:t>
      </w:r>
      <w:r w:rsidR="008C7A93" w:rsidRPr="00DF1530">
        <w:rPr>
          <w:lang w:val="ru-RU"/>
        </w:rPr>
        <w:t xml:space="preserve"> </w:t>
      </w:r>
      <w:r w:rsidR="00C679F9" w:rsidRPr="00DF1530">
        <w:rPr>
          <w:lang w:val="ru-RU"/>
        </w:rPr>
        <w:t>или на микро</w:t>
      </w:r>
      <w:r w:rsidR="00834072" w:rsidRPr="00DF1530">
        <w:rPr>
          <w:lang w:val="ru-RU"/>
        </w:rPr>
        <w:t>предприятия</w:t>
      </w:r>
      <w:r w:rsidR="00C679F9" w:rsidRPr="00DF1530">
        <w:rPr>
          <w:lang w:val="ru-RU"/>
        </w:rPr>
        <w:t>х</w:t>
      </w:r>
      <w:r w:rsidR="00AF521F" w:rsidRPr="00DF1530">
        <w:rPr>
          <w:lang w:val="ru-RU"/>
        </w:rPr>
        <w:t>, хотя</w:t>
      </w:r>
      <w:r w:rsidR="008C7A93" w:rsidRPr="00DF1530">
        <w:rPr>
          <w:lang w:val="ru-RU"/>
        </w:rPr>
        <w:t xml:space="preserve"> </w:t>
      </w:r>
      <w:r w:rsidR="00C679F9" w:rsidRPr="00DF1530">
        <w:rPr>
          <w:lang w:val="ru-RU"/>
        </w:rPr>
        <w:t>в иной ситуации работали бы на официальн</w:t>
      </w:r>
      <w:r w:rsidR="002D4AC0" w:rsidRPr="00DF1530">
        <w:rPr>
          <w:lang w:val="ru-RU"/>
        </w:rPr>
        <w:t xml:space="preserve">о </w:t>
      </w:r>
      <w:r w:rsidR="00834072" w:rsidRPr="00DF1530">
        <w:rPr>
          <w:lang w:val="ru-RU"/>
        </w:rPr>
        <w:t>зарегистрированны</w:t>
      </w:r>
      <w:r w:rsidR="00C679F9" w:rsidRPr="00DF1530">
        <w:rPr>
          <w:lang w:val="ru-RU"/>
        </w:rPr>
        <w:t>х</w:t>
      </w:r>
      <w:r w:rsidR="008C7A93" w:rsidRPr="00DF1530">
        <w:rPr>
          <w:lang w:val="ru-RU"/>
        </w:rPr>
        <w:t xml:space="preserve"> </w:t>
      </w:r>
      <w:r w:rsidR="00834072" w:rsidRPr="00DF1530">
        <w:rPr>
          <w:lang w:val="ru-RU"/>
        </w:rPr>
        <w:t>предприятия</w:t>
      </w:r>
      <w:r w:rsidR="00C679F9" w:rsidRPr="00DF1530">
        <w:rPr>
          <w:lang w:val="ru-RU"/>
        </w:rPr>
        <w:t>х</w:t>
      </w:r>
      <w:r w:rsidR="008C7A93" w:rsidRPr="00DF1530">
        <w:rPr>
          <w:lang w:val="ru-RU"/>
        </w:rPr>
        <w:t xml:space="preserve">, </w:t>
      </w:r>
      <w:r w:rsidR="00C679F9" w:rsidRPr="00DF1530">
        <w:rPr>
          <w:lang w:val="ru-RU"/>
        </w:rPr>
        <w:t xml:space="preserve">и существует, вероятно, некоторая скрытая занятость на более крупных </w:t>
      </w:r>
      <w:r w:rsidR="00F736B7" w:rsidRPr="00DF1530">
        <w:rPr>
          <w:lang w:val="ru-RU"/>
        </w:rPr>
        <w:t>МСП</w:t>
      </w:r>
      <w:r w:rsidR="00C679F9" w:rsidRPr="00DF1530">
        <w:rPr>
          <w:lang w:val="ru-RU"/>
        </w:rPr>
        <w:t>,</w:t>
      </w:r>
      <w:r w:rsidR="008C7A93" w:rsidRPr="00DF1530">
        <w:rPr>
          <w:lang w:val="ru-RU"/>
        </w:rPr>
        <w:t xml:space="preserve"> </w:t>
      </w:r>
      <w:r w:rsidR="00C679F9" w:rsidRPr="00DF1530">
        <w:rPr>
          <w:lang w:val="ru-RU"/>
        </w:rPr>
        <w:t xml:space="preserve">не учитываемая в официальных </w:t>
      </w:r>
      <w:r w:rsidR="00AF521F" w:rsidRPr="00DF1530">
        <w:rPr>
          <w:lang w:val="ru-RU"/>
        </w:rPr>
        <w:t>сводках</w:t>
      </w:r>
      <w:r w:rsidR="008C7A93" w:rsidRPr="00DF1530">
        <w:rPr>
          <w:lang w:val="ru-RU"/>
        </w:rPr>
        <w:t xml:space="preserve">. </w:t>
      </w:r>
      <w:r w:rsidR="00C679F9" w:rsidRPr="00DF1530">
        <w:rPr>
          <w:lang w:val="ru-RU"/>
        </w:rPr>
        <w:t>Оценки в обзоре Международного бюро труда</w:t>
      </w:r>
      <w:r w:rsidR="008C7A93" w:rsidRPr="00DF1530">
        <w:rPr>
          <w:lang w:val="ru-RU"/>
        </w:rPr>
        <w:t xml:space="preserve"> (ILO) </w:t>
      </w:r>
      <w:r w:rsidR="00C679F9" w:rsidRPr="00DF1530">
        <w:rPr>
          <w:lang w:val="ru-RU"/>
        </w:rPr>
        <w:t xml:space="preserve">показывают, что в 2011 году в </w:t>
      </w:r>
      <w:r w:rsidR="004F360C" w:rsidRPr="00DF1530">
        <w:rPr>
          <w:lang w:val="ru-RU"/>
        </w:rPr>
        <w:t>Российск</w:t>
      </w:r>
      <w:r w:rsidR="00C679F9" w:rsidRPr="00DF1530">
        <w:rPr>
          <w:lang w:val="ru-RU"/>
        </w:rPr>
        <w:t>ой</w:t>
      </w:r>
      <w:r w:rsidR="005E53F2" w:rsidRPr="00DF1530">
        <w:rPr>
          <w:lang w:val="ru-RU"/>
        </w:rPr>
        <w:t xml:space="preserve"> Федераци</w:t>
      </w:r>
      <w:r w:rsidR="00C679F9" w:rsidRPr="00DF1530">
        <w:rPr>
          <w:lang w:val="ru-RU"/>
        </w:rPr>
        <w:t>и</w:t>
      </w:r>
      <w:r w:rsidR="008C7A93" w:rsidRPr="00DF1530">
        <w:rPr>
          <w:lang w:val="ru-RU"/>
        </w:rPr>
        <w:t xml:space="preserve"> </w:t>
      </w:r>
      <w:r w:rsidR="00C679F9" w:rsidRPr="00DF1530">
        <w:rPr>
          <w:lang w:val="ru-RU"/>
        </w:rPr>
        <w:t xml:space="preserve">могло быть </w:t>
      </w:r>
      <w:r w:rsidR="008C7A93" w:rsidRPr="00DF1530">
        <w:rPr>
          <w:lang w:val="ru-RU"/>
        </w:rPr>
        <w:t>7</w:t>
      </w:r>
      <w:r w:rsidR="00C679F9" w:rsidRPr="00DF1530">
        <w:rPr>
          <w:lang w:val="ru-RU"/>
        </w:rPr>
        <w:t>,</w:t>
      </w:r>
      <w:r w:rsidR="008C7A93" w:rsidRPr="00DF1530">
        <w:rPr>
          <w:lang w:val="ru-RU"/>
        </w:rPr>
        <w:t xml:space="preserve">78 </w:t>
      </w:r>
      <w:r w:rsidR="00834072" w:rsidRPr="00DF1530">
        <w:rPr>
          <w:lang w:val="ru-RU"/>
        </w:rPr>
        <w:t>миллиона</w:t>
      </w:r>
      <w:r w:rsidR="008C7A93" w:rsidRPr="00DF1530">
        <w:rPr>
          <w:lang w:val="ru-RU"/>
        </w:rPr>
        <w:t xml:space="preserve"> </w:t>
      </w:r>
      <w:r w:rsidR="00C679F9" w:rsidRPr="00DF1530">
        <w:rPr>
          <w:lang w:val="ru-RU"/>
        </w:rPr>
        <w:t xml:space="preserve">необъявленных рабочих мест в </w:t>
      </w:r>
      <w:r w:rsidR="002D4AC0" w:rsidRPr="00DF1530">
        <w:rPr>
          <w:lang w:val="ru-RU"/>
        </w:rPr>
        <w:t>неофициальном</w:t>
      </w:r>
      <w:r w:rsidR="00C679F9" w:rsidRPr="00DF1530">
        <w:rPr>
          <w:lang w:val="ru-RU"/>
        </w:rPr>
        <w:t xml:space="preserve"> секторе</w:t>
      </w:r>
      <w:r w:rsidR="008C7A93" w:rsidRPr="00DF1530">
        <w:rPr>
          <w:lang w:val="ru-RU"/>
        </w:rPr>
        <w:t xml:space="preserve">, </w:t>
      </w:r>
      <w:r w:rsidR="00C679F9" w:rsidRPr="00DF1530">
        <w:rPr>
          <w:lang w:val="ru-RU"/>
        </w:rPr>
        <w:t xml:space="preserve">что равно </w:t>
      </w:r>
      <w:r w:rsidR="008C7A93" w:rsidRPr="00DF1530">
        <w:rPr>
          <w:lang w:val="ru-RU"/>
        </w:rPr>
        <w:t>12</w:t>
      </w:r>
      <w:r w:rsidR="00C679F9" w:rsidRPr="00DF1530">
        <w:rPr>
          <w:lang w:val="ru-RU"/>
        </w:rPr>
        <w:t>,</w:t>
      </w:r>
      <w:r w:rsidR="008C7A93" w:rsidRPr="00DF1530">
        <w:rPr>
          <w:lang w:val="ru-RU"/>
        </w:rPr>
        <w:t xml:space="preserve">1% </w:t>
      </w:r>
      <w:r w:rsidR="00C679F9" w:rsidRPr="00DF1530">
        <w:rPr>
          <w:lang w:val="ru-RU"/>
        </w:rPr>
        <w:t>всех рабочих мест в несельскохозяйственном секторе</w:t>
      </w:r>
      <w:r w:rsidR="008C7A93" w:rsidRPr="00DF1530">
        <w:rPr>
          <w:lang w:val="ru-RU"/>
        </w:rPr>
        <w:t xml:space="preserve">. </w:t>
      </w:r>
      <w:r w:rsidR="002D4AC0" w:rsidRPr="00DF1530">
        <w:rPr>
          <w:lang w:val="ru-RU"/>
        </w:rPr>
        <w:t>Если использовать альтернативный подход</w:t>
      </w:r>
      <w:r w:rsidR="008C7A93" w:rsidRPr="00DF1530">
        <w:rPr>
          <w:lang w:val="ru-RU"/>
        </w:rPr>
        <w:t xml:space="preserve">, </w:t>
      </w:r>
      <w:r w:rsidR="002D4AC0" w:rsidRPr="00DF1530">
        <w:rPr>
          <w:lang w:val="ru-RU"/>
        </w:rPr>
        <w:t xml:space="preserve">показатель Шнайдера говорит о том, что до </w:t>
      </w:r>
      <w:r w:rsidR="008C7A93" w:rsidRPr="00DF1530">
        <w:rPr>
          <w:lang w:val="ru-RU"/>
        </w:rPr>
        <w:t xml:space="preserve">40% </w:t>
      </w:r>
      <w:r w:rsidR="006F45C8" w:rsidRPr="00DF1530">
        <w:rPr>
          <w:lang w:val="ru-RU"/>
        </w:rPr>
        <w:t>экономической деятельности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2D4AC0" w:rsidRPr="00DF1530">
        <w:rPr>
          <w:lang w:val="ru-RU"/>
        </w:rPr>
        <w:t>носит неофициальный характер</w:t>
      </w:r>
      <w:r w:rsidR="008C7A93" w:rsidRPr="00DF1530">
        <w:rPr>
          <w:lang w:val="ru-RU"/>
        </w:rPr>
        <w:t xml:space="preserve">, </w:t>
      </w:r>
      <w:r w:rsidR="002D4AC0" w:rsidRPr="00DF1530">
        <w:rPr>
          <w:lang w:val="ru-RU"/>
        </w:rPr>
        <w:t xml:space="preserve">что </w:t>
      </w:r>
      <w:r w:rsidR="00592D7B" w:rsidRPr="00DF1530">
        <w:rPr>
          <w:lang w:val="ru-RU"/>
        </w:rPr>
        <w:t>значительно</w:t>
      </w:r>
      <w:r w:rsidR="008C7A93" w:rsidRPr="00DF1530">
        <w:rPr>
          <w:lang w:val="ru-RU"/>
        </w:rPr>
        <w:t xml:space="preserve"> </w:t>
      </w:r>
      <w:r w:rsidR="002D4AC0" w:rsidRPr="00DF1530">
        <w:rPr>
          <w:lang w:val="ru-RU"/>
        </w:rPr>
        <w:t xml:space="preserve">больше, чем </w:t>
      </w:r>
      <w:r w:rsidR="00F736B7" w:rsidRPr="00DF1530">
        <w:rPr>
          <w:lang w:val="ru-RU"/>
        </w:rPr>
        <w:t>в странах ОЭСР</w:t>
      </w:r>
      <w:r w:rsidR="008C7A93" w:rsidRPr="00DF1530">
        <w:rPr>
          <w:lang w:val="ru-RU"/>
        </w:rPr>
        <w:t xml:space="preserve"> </w:t>
      </w:r>
      <w:r w:rsidR="002D4AC0" w:rsidRPr="00DF1530">
        <w:rPr>
          <w:lang w:val="ru-RU"/>
        </w:rPr>
        <w:t>и многих других странах с развивающейся экономикой</w:t>
      </w:r>
      <w:r w:rsidR="008C7A93" w:rsidRPr="00DF1530">
        <w:rPr>
          <w:lang w:val="ru-RU"/>
        </w:rPr>
        <w:t xml:space="preserve"> (</w:t>
      </w:r>
      <w:r w:rsidR="00592D7B" w:rsidRPr="00DF1530">
        <w:rPr>
          <w:lang w:val="ru-RU"/>
        </w:rPr>
        <w:t>Рисунок</w:t>
      </w:r>
      <w:r w:rsidR="008C7A93" w:rsidRPr="00DF1530">
        <w:rPr>
          <w:lang w:val="ru-RU"/>
        </w:rPr>
        <w:t xml:space="preserve"> 1.4).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1.4.</w:t>
      </w:r>
      <w:r w:rsidR="008C7A93" w:rsidRPr="00DF1530">
        <w:rPr>
          <w:lang w:val="ru-RU"/>
        </w:rPr>
        <w:tab/>
      </w:r>
      <w:r w:rsidR="002D4AC0" w:rsidRPr="00DF1530">
        <w:rPr>
          <w:lang w:val="ru-RU"/>
        </w:rPr>
        <w:t>Расчетный масштаб неофициальной экономической деятельности</w:t>
      </w:r>
      <w:r w:rsidR="008C7A93" w:rsidRPr="00DF1530">
        <w:rPr>
          <w:lang w:val="ru-RU"/>
        </w:rPr>
        <w:t xml:space="preserve">, </w:t>
      </w:r>
      <w:r w:rsidR="002D4AC0" w:rsidRPr="00DF1530">
        <w:rPr>
          <w:lang w:val="ru-RU"/>
        </w:rPr>
        <w:t>определение Шнайдера</w:t>
      </w:r>
      <w:r w:rsidR="008C7A93" w:rsidRPr="00DF1530">
        <w:rPr>
          <w:lang w:val="ru-RU"/>
        </w:rPr>
        <w:t>, 2007</w:t>
      </w:r>
      <w:r w:rsidR="002D4AC0" w:rsidRPr="00DF1530">
        <w:rPr>
          <w:lang w:val="ru-RU"/>
        </w:rPr>
        <w:t xml:space="preserve"> г.</w:t>
      </w:r>
      <w:r w:rsidR="009030BD" w:rsidRPr="00DF1530">
        <w:rPr>
          <w:lang w:val="ru-RU"/>
        </w:rPr>
        <w:fldChar w:fldCharType="begin"/>
      </w:r>
      <w:r w:rsidR="008C7A93" w:rsidRPr="00DF1530">
        <w:rPr>
          <w:lang w:val="ru-RU"/>
        </w:rPr>
        <w:instrText xml:space="preserve"> TC \f f \l 2 "</w:instrText>
      </w:r>
      <w:bookmarkStart w:id="34" w:name="_Toc411604104"/>
      <w:r w:rsidR="008C7A93" w:rsidRPr="00DF1530">
        <w:rPr>
          <w:lang w:val="ru-RU"/>
        </w:rPr>
        <w:instrText>Figure 1.4.</w:instrText>
      </w:r>
      <w:r w:rsidR="008C7A93" w:rsidRPr="00DF1530">
        <w:rPr>
          <w:lang w:val="ru-RU"/>
        </w:rPr>
        <w:tab/>
        <w:instrText>The estimated scale of the informal economy, Schneider definition, 2007</w:instrText>
      </w:r>
      <w:bookmarkEnd w:id="34"/>
      <w:r w:rsidR="008C7A93" w:rsidRPr="00DF1530">
        <w:rPr>
          <w:lang w:val="ru-RU"/>
        </w:rPr>
        <w:instrText xml:space="preserve">"  </w:instrText>
      </w:r>
      <w:r w:rsidR="009030BD" w:rsidRPr="00DF1530">
        <w:rPr>
          <w:lang w:val="ru-RU"/>
        </w:rPr>
        <w:fldChar w:fldCharType="end"/>
      </w:r>
    </w:p>
    <w:p w:rsidR="008C7A93" w:rsidRPr="00DF1530" w:rsidRDefault="006F45C8" w:rsidP="008C7A93">
      <w:pPr>
        <w:pStyle w:val="FigureSub-title"/>
        <w:rPr>
          <w:lang w:val="ru-RU"/>
        </w:rPr>
      </w:pPr>
      <w:r w:rsidRPr="00DF1530">
        <w:rPr>
          <w:lang w:val="ru-RU"/>
        </w:rPr>
        <w:t>Процент</w:t>
      </w:r>
      <w:r w:rsidR="008C7A93" w:rsidRPr="00DF1530">
        <w:rPr>
          <w:lang w:val="ru-RU"/>
        </w:rPr>
        <w:t xml:space="preserve"> </w:t>
      </w:r>
      <w:r w:rsidRPr="00DF1530">
        <w:rPr>
          <w:lang w:val="ru-RU"/>
        </w:rPr>
        <w:t>экономической деятельности</w:t>
      </w:r>
    </w:p>
    <w:p w:rsidR="008C7A93" w:rsidRPr="00DF1530" w:rsidRDefault="008C7A93" w:rsidP="008C7A93">
      <w:pPr>
        <w:pStyle w:val="Graphic"/>
        <w:rPr>
          <w:lang w:val="ru-RU"/>
        </w:rPr>
      </w:pPr>
      <w:r w:rsidRPr="00DF1530">
        <w:rPr>
          <w:noProof/>
          <w:lang w:val="ru-RU" w:eastAsia="ru-RU"/>
        </w:rPr>
        <w:drawing>
          <wp:inline distT="0" distB="0" distL="0" distR="0">
            <wp:extent cx="4572000" cy="2586037"/>
            <wp:effectExtent l="0" t="0" r="19050" b="2413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CA3D42" w:rsidRPr="00DF1530">
        <w:rPr>
          <w:lang w:val="ru-RU"/>
        </w:rPr>
        <w:t xml:space="preserve">OECD </w:t>
      </w:r>
      <w:proofErr w:type="spellStart"/>
      <w:r w:rsidR="00CA3D42" w:rsidRPr="00DF1530">
        <w:rPr>
          <w:lang w:val="ru-RU"/>
        </w:rPr>
        <w:t>Economic</w:t>
      </w:r>
      <w:proofErr w:type="spellEnd"/>
      <w:r w:rsidR="00CA3D42" w:rsidRPr="00DF1530">
        <w:rPr>
          <w:lang w:val="ru-RU"/>
        </w:rPr>
        <w:t xml:space="preserve"> </w:t>
      </w:r>
      <w:proofErr w:type="spellStart"/>
      <w:r w:rsidR="00CA3D42" w:rsidRPr="00DF1530">
        <w:rPr>
          <w:lang w:val="ru-RU"/>
        </w:rPr>
        <w:t>Survey</w:t>
      </w:r>
      <w:proofErr w:type="spellEnd"/>
      <w:r w:rsidR="00CA3D42" w:rsidRPr="00DF1530">
        <w:rPr>
          <w:lang w:val="ru-RU"/>
        </w:rPr>
        <w:t xml:space="preserve"> </w:t>
      </w:r>
      <w:proofErr w:type="spellStart"/>
      <w:r w:rsidR="00CA3D42" w:rsidRPr="00DF1530">
        <w:rPr>
          <w:lang w:val="ru-RU"/>
        </w:rPr>
        <w:t>of</w:t>
      </w:r>
      <w:proofErr w:type="spellEnd"/>
      <w:r w:rsidR="00CA3D42" w:rsidRPr="00DF1530">
        <w:rPr>
          <w:lang w:val="ru-RU"/>
        </w:rPr>
        <w:t xml:space="preserve"> </w:t>
      </w:r>
      <w:proofErr w:type="spellStart"/>
      <w:r w:rsidR="00CA3D42" w:rsidRPr="00DF1530">
        <w:rPr>
          <w:lang w:val="ru-RU"/>
        </w:rPr>
        <w:t>Mexico</w:t>
      </w:r>
      <w:proofErr w:type="spellEnd"/>
      <w:r w:rsidR="00CA3D42" w:rsidRPr="00DF1530">
        <w:rPr>
          <w:lang w:val="ru-RU"/>
        </w:rPr>
        <w:t xml:space="preserve"> (2011) </w:t>
      </w:r>
      <w:r w:rsidR="00EE50C3" w:rsidRPr="00DF1530">
        <w:rPr>
          <w:lang w:val="ru-RU"/>
        </w:rPr>
        <w:t>на основании</w:t>
      </w:r>
      <w:r w:rsidR="00CA3D42" w:rsidRPr="00DF1530">
        <w:rPr>
          <w:lang w:val="ru-RU"/>
        </w:rPr>
        <w:t xml:space="preserve"> ILO (2011).</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016EE2" w:rsidRPr="00DF1530">
        <w:rPr>
          <w:lang w:val="ru-RU"/>
        </w:rPr>
        <w:t xml:space="preserve">При этом многие </w:t>
      </w:r>
      <w:r w:rsidR="00834072" w:rsidRPr="00DF1530">
        <w:rPr>
          <w:lang w:val="ru-RU"/>
        </w:rPr>
        <w:t>в Российской Федерации</w:t>
      </w:r>
      <w:r w:rsidR="00EE50C3" w:rsidRPr="00DF1530">
        <w:rPr>
          <w:lang w:val="ru-RU"/>
        </w:rPr>
        <w:t>,</w:t>
      </w:r>
      <w:r w:rsidR="008C7A93" w:rsidRPr="00DF1530">
        <w:rPr>
          <w:lang w:val="ru-RU"/>
        </w:rPr>
        <w:t xml:space="preserve"> </w:t>
      </w:r>
      <w:r w:rsidR="00016EE2" w:rsidRPr="00DF1530">
        <w:rPr>
          <w:lang w:val="ru-RU"/>
        </w:rPr>
        <w:t>по крайней мере</w:t>
      </w:r>
      <w:r w:rsidR="00EE50C3" w:rsidRPr="00DF1530">
        <w:rPr>
          <w:lang w:val="ru-RU"/>
        </w:rPr>
        <w:t>,</w:t>
      </w:r>
      <w:r w:rsidR="00016EE2" w:rsidRPr="00DF1530">
        <w:rPr>
          <w:lang w:val="ru-RU"/>
        </w:rPr>
        <w:t xml:space="preserve"> получают </w:t>
      </w:r>
      <w:r w:rsidR="0047268B" w:rsidRPr="00DF1530">
        <w:rPr>
          <w:lang w:val="ru-RU"/>
        </w:rPr>
        <w:t>возможности</w:t>
      </w:r>
      <w:r w:rsidR="008C7A93" w:rsidRPr="00DF1530">
        <w:rPr>
          <w:lang w:val="ru-RU"/>
        </w:rPr>
        <w:t xml:space="preserve"> </w:t>
      </w:r>
      <w:r w:rsidR="00016EE2" w:rsidRPr="00DF1530">
        <w:rPr>
          <w:lang w:val="ru-RU"/>
        </w:rPr>
        <w:t xml:space="preserve">для трудоустройства посредством неофициальной </w:t>
      </w:r>
      <w:r w:rsidR="00347E3A" w:rsidRPr="00DF1530">
        <w:rPr>
          <w:lang w:val="ru-RU"/>
        </w:rPr>
        <w:t>предпринимательск</w:t>
      </w:r>
      <w:r w:rsidR="00016EE2" w:rsidRPr="00DF1530">
        <w:rPr>
          <w:lang w:val="ru-RU"/>
        </w:rPr>
        <w:t>ой</w:t>
      </w:r>
      <w:r w:rsidR="00347E3A" w:rsidRPr="00DF1530">
        <w:rPr>
          <w:lang w:val="ru-RU"/>
        </w:rPr>
        <w:t xml:space="preserve"> деятельност</w:t>
      </w:r>
      <w:r w:rsidR="00016EE2" w:rsidRPr="00DF1530">
        <w:rPr>
          <w:lang w:val="ru-RU"/>
        </w:rPr>
        <w:t>и</w:t>
      </w:r>
      <w:r w:rsidR="008C7A93" w:rsidRPr="00DF1530">
        <w:rPr>
          <w:lang w:val="ru-RU"/>
        </w:rPr>
        <w:t xml:space="preserve">. </w:t>
      </w:r>
      <w:r w:rsidR="00016EE2" w:rsidRPr="00DF1530">
        <w:rPr>
          <w:lang w:val="ru-RU"/>
        </w:rPr>
        <w:t>О</w:t>
      </w:r>
      <w:r w:rsidR="007C68D2" w:rsidRPr="00DF1530">
        <w:rPr>
          <w:lang w:val="ru-RU"/>
        </w:rPr>
        <w:t>днако</w:t>
      </w:r>
      <w:r w:rsidR="008C7A93" w:rsidRPr="00DF1530">
        <w:rPr>
          <w:lang w:val="ru-RU"/>
        </w:rPr>
        <w:t xml:space="preserve"> </w:t>
      </w:r>
      <w:r w:rsidR="00016EE2" w:rsidRPr="00DF1530">
        <w:rPr>
          <w:lang w:val="ru-RU"/>
        </w:rPr>
        <w:t>такая неофициальная занятость обычно сопряжена с низкой производительностью труда</w:t>
      </w:r>
      <w:r w:rsidR="008C7A93" w:rsidRPr="00DF1530">
        <w:rPr>
          <w:lang w:val="ru-RU"/>
        </w:rPr>
        <w:t xml:space="preserve">, </w:t>
      </w:r>
      <w:r w:rsidR="00016EE2" w:rsidRPr="00DF1530">
        <w:rPr>
          <w:lang w:val="ru-RU"/>
        </w:rPr>
        <w:t>низкими доходами</w:t>
      </w:r>
      <w:r w:rsidR="008C7A93" w:rsidRPr="00DF1530">
        <w:rPr>
          <w:lang w:val="ru-RU"/>
        </w:rPr>
        <w:t xml:space="preserve">, </w:t>
      </w:r>
      <w:r w:rsidR="00016EE2" w:rsidRPr="00DF1530">
        <w:rPr>
          <w:lang w:val="ru-RU"/>
        </w:rPr>
        <w:t xml:space="preserve">неудовлетворительными условиями </w:t>
      </w:r>
      <w:r w:rsidR="00B16340" w:rsidRPr="00DF1530">
        <w:rPr>
          <w:lang w:val="ru-RU"/>
        </w:rPr>
        <w:t xml:space="preserve">труда </w:t>
      </w:r>
      <w:r w:rsidR="00016EE2" w:rsidRPr="00DF1530">
        <w:rPr>
          <w:lang w:val="ru-RU"/>
        </w:rPr>
        <w:t xml:space="preserve">и упущенными </w:t>
      </w:r>
      <w:r w:rsidR="00F84433" w:rsidRPr="00DF1530">
        <w:rPr>
          <w:lang w:val="ru-RU"/>
        </w:rPr>
        <w:t xml:space="preserve">налоговыми </w:t>
      </w:r>
      <w:r w:rsidR="00016EE2" w:rsidRPr="00DF1530">
        <w:rPr>
          <w:lang w:val="ru-RU"/>
        </w:rPr>
        <w:t>доходами бюджета</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Кроме того</w:t>
      </w:r>
      <w:r w:rsidR="008C7A93" w:rsidRPr="00DF1530">
        <w:rPr>
          <w:lang w:val="ru-RU"/>
        </w:rPr>
        <w:t xml:space="preserve">, </w:t>
      </w:r>
      <w:r w:rsidR="002A62C0" w:rsidRPr="00DF1530">
        <w:rPr>
          <w:lang w:val="ru-RU"/>
        </w:rPr>
        <w:t>хотя и признается важность этого явления</w:t>
      </w:r>
      <w:r w:rsidR="008C7A93" w:rsidRPr="00DF1530">
        <w:rPr>
          <w:lang w:val="ru-RU"/>
        </w:rPr>
        <w:t xml:space="preserve">, </w:t>
      </w:r>
      <w:r w:rsidR="002A62C0" w:rsidRPr="00DF1530">
        <w:rPr>
          <w:lang w:val="ru-RU"/>
        </w:rPr>
        <w:t xml:space="preserve">один только большой масштаб неофициальной </w:t>
      </w:r>
      <w:r w:rsidR="00834072" w:rsidRPr="00DF1530">
        <w:rPr>
          <w:lang w:val="ru-RU"/>
        </w:rPr>
        <w:t>предпринимательск</w:t>
      </w:r>
      <w:r w:rsidR="002A62C0" w:rsidRPr="00DF1530">
        <w:rPr>
          <w:lang w:val="ru-RU"/>
        </w:rPr>
        <w:t>ой</w:t>
      </w:r>
      <w:r w:rsidR="00834072" w:rsidRPr="00DF1530">
        <w:rPr>
          <w:lang w:val="ru-RU"/>
        </w:rPr>
        <w:t xml:space="preserve"> деятельност</w:t>
      </w:r>
      <w:r w:rsidR="002A62C0" w:rsidRPr="00DF1530">
        <w:rPr>
          <w:lang w:val="ru-RU"/>
        </w:rPr>
        <w:t>и</w:t>
      </w:r>
      <w:r w:rsidR="008C7A93" w:rsidRPr="00DF1530">
        <w:rPr>
          <w:lang w:val="ru-RU"/>
        </w:rPr>
        <w:t xml:space="preserve"> </w:t>
      </w:r>
      <w:r w:rsidR="002A62C0" w:rsidRPr="00DF1530">
        <w:rPr>
          <w:lang w:val="ru-RU"/>
        </w:rPr>
        <w:t xml:space="preserve">не объясняет недостаток официальной </w:t>
      </w:r>
      <w:r w:rsidR="00834072" w:rsidRPr="00DF1530">
        <w:rPr>
          <w:lang w:val="ru-RU"/>
        </w:rPr>
        <w:t>деятельност</w:t>
      </w:r>
      <w:r w:rsidR="002A62C0" w:rsidRPr="00DF1530">
        <w:rPr>
          <w:lang w:val="ru-RU"/>
        </w:rPr>
        <w:t>и</w:t>
      </w:r>
      <w:r w:rsidR="008C7A93" w:rsidRPr="00DF1530">
        <w:rPr>
          <w:lang w:val="ru-RU"/>
        </w:rPr>
        <w:t xml:space="preserve"> </w:t>
      </w:r>
      <w:r w:rsidR="002A62C0" w:rsidRPr="00DF1530">
        <w:rPr>
          <w:lang w:val="ru-RU"/>
        </w:rPr>
        <w:t>в секторе МСП</w:t>
      </w:r>
      <w:r w:rsidR="008C7A93" w:rsidRPr="00DF1530">
        <w:rPr>
          <w:lang w:val="ru-RU"/>
        </w:rPr>
        <w:t xml:space="preserve">. </w:t>
      </w:r>
      <w:r w:rsidR="002A62C0" w:rsidRPr="00DF1530">
        <w:rPr>
          <w:lang w:val="ru-RU"/>
        </w:rPr>
        <w:t xml:space="preserve">Даже если отнести все неофициальные рабочие места, определенные в обзоре </w:t>
      </w:r>
      <w:r w:rsidR="008C7A93" w:rsidRPr="00DF1530">
        <w:rPr>
          <w:lang w:val="ru-RU"/>
        </w:rPr>
        <w:t>ILO</w:t>
      </w:r>
      <w:r w:rsidR="002A62C0" w:rsidRPr="00DF1530">
        <w:rPr>
          <w:lang w:val="ru-RU"/>
        </w:rPr>
        <w:t>,</w:t>
      </w:r>
      <w:r w:rsidR="008C7A93" w:rsidRPr="00DF1530">
        <w:rPr>
          <w:lang w:val="ru-RU"/>
        </w:rPr>
        <w:t xml:space="preserve"> </w:t>
      </w:r>
      <w:r w:rsidR="002A62C0" w:rsidRPr="00DF1530">
        <w:rPr>
          <w:lang w:val="ru-RU"/>
        </w:rPr>
        <w:t xml:space="preserve">к расчетной занятости в </w:t>
      </w:r>
      <w:r w:rsidR="00834072" w:rsidRPr="00DF1530">
        <w:rPr>
          <w:lang w:val="ru-RU"/>
        </w:rPr>
        <w:t>МСП</w:t>
      </w:r>
      <w:r w:rsidR="002A62C0" w:rsidRPr="00DF1530">
        <w:rPr>
          <w:lang w:val="ru-RU"/>
        </w:rPr>
        <w:t>,</w:t>
      </w:r>
      <w:r w:rsidR="008C7A93" w:rsidRPr="00DF1530">
        <w:rPr>
          <w:lang w:val="ru-RU"/>
        </w:rPr>
        <w:t xml:space="preserve"> </w:t>
      </w:r>
      <w:r w:rsidR="002A62C0" w:rsidRPr="00DF1530">
        <w:rPr>
          <w:lang w:val="ru-RU"/>
        </w:rPr>
        <w:t xml:space="preserve">все равно уровень занятости в МСП в </w:t>
      </w:r>
      <w:r w:rsidR="004F360C" w:rsidRPr="00DF1530">
        <w:rPr>
          <w:lang w:val="ru-RU"/>
        </w:rPr>
        <w:t>Российск</w:t>
      </w:r>
      <w:r w:rsidR="002A62C0" w:rsidRPr="00DF1530">
        <w:rPr>
          <w:lang w:val="ru-RU"/>
        </w:rPr>
        <w:t>ой</w:t>
      </w:r>
      <w:r w:rsidR="005E53F2" w:rsidRPr="00DF1530">
        <w:rPr>
          <w:lang w:val="ru-RU"/>
        </w:rPr>
        <w:t xml:space="preserve"> Федераци</w:t>
      </w:r>
      <w:r w:rsidR="002A62C0" w:rsidRPr="00DF1530">
        <w:rPr>
          <w:lang w:val="ru-RU"/>
        </w:rPr>
        <w:t>и</w:t>
      </w:r>
      <w:r w:rsidR="008C7A93" w:rsidRPr="00DF1530">
        <w:rPr>
          <w:lang w:val="ru-RU"/>
        </w:rPr>
        <w:t xml:space="preserve"> </w:t>
      </w:r>
      <w:r w:rsidR="002A62C0" w:rsidRPr="00DF1530">
        <w:rPr>
          <w:lang w:val="ru-RU"/>
        </w:rPr>
        <w:t>будет значительно</w:t>
      </w:r>
      <w:r w:rsidR="008C7A93" w:rsidRPr="00DF1530">
        <w:rPr>
          <w:lang w:val="ru-RU"/>
        </w:rPr>
        <w:t xml:space="preserve"> </w:t>
      </w:r>
      <w:r w:rsidR="002A62C0" w:rsidRPr="00DF1530">
        <w:rPr>
          <w:lang w:val="ru-RU"/>
        </w:rPr>
        <w:t xml:space="preserve">ниже среднего показателя по </w:t>
      </w:r>
      <w:r w:rsidR="005E53F2" w:rsidRPr="00DF1530">
        <w:rPr>
          <w:lang w:val="ru-RU"/>
        </w:rPr>
        <w:t>ОЭСР</w:t>
      </w:r>
      <w:r w:rsidR="008C7A93" w:rsidRPr="00DF1530">
        <w:rPr>
          <w:lang w:val="ru-RU"/>
        </w:rPr>
        <w:t xml:space="preserve">. </w:t>
      </w:r>
    </w:p>
    <w:p w:rsidR="008C7A93" w:rsidRPr="00DF1530" w:rsidRDefault="00D3769A" w:rsidP="008C7A93">
      <w:pPr>
        <w:pStyle w:val="31"/>
        <w:rPr>
          <w:lang w:val="ru-RU"/>
        </w:rPr>
      </w:pPr>
      <w:r w:rsidRPr="00DF1530">
        <w:rPr>
          <w:lang w:val="ru-RU"/>
        </w:rPr>
        <w:t>Низкий уровень инноваций</w:t>
      </w:r>
      <w:r w:rsidR="008C7A93" w:rsidRPr="00DF1530">
        <w:rPr>
          <w:lang w:val="ru-RU"/>
        </w:rPr>
        <w:t xml:space="preserve"> </w:t>
      </w:r>
      <w:r w:rsidRPr="00DF1530">
        <w:rPr>
          <w:lang w:val="ru-RU"/>
        </w:rPr>
        <w:t xml:space="preserve">в МСП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D3769A" w:rsidRPr="00DF1530">
        <w:rPr>
          <w:lang w:val="ru-RU"/>
        </w:rPr>
        <w:t>В ряде источников указывается на низкий уровень инноваций</w:t>
      </w:r>
      <w:r w:rsidR="008C7A93" w:rsidRPr="00DF1530">
        <w:rPr>
          <w:lang w:val="ru-RU"/>
        </w:rPr>
        <w:t xml:space="preserve"> </w:t>
      </w:r>
      <w:r w:rsidR="00D3769A" w:rsidRPr="00DF1530">
        <w:rPr>
          <w:lang w:val="ru-RU"/>
        </w:rPr>
        <w:t xml:space="preserve">в </w:t>
      </w:r>
      <w:r w:rsidR="00F736B7" w:rsidRPr="00DF1530">
        <w:rPr>
          <w:lang w:val="ru-RU"/>
        </w:rPr>
        <w:t>МСП</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D3769A" w:rsidRPr="00DF1530">
        <w:rPr>
          <w:lang w:val="ru-RU"/>
        </w:rPr>
        <w:t xml:space="preserve">Как показано на </w:t>
      </w:r>
      <w:r w:rsidR="00592D7B" w:rsidRPr="00DF1530">
        <w:rPr>
          <w:lang w:val="ru-RU"/>
        </w:rPr>
        <w:t>Рисун</w:t>
      </w:r>
      <w:r w:rsidR="00D3769A" w:rsidRPr="00DF1530">
        <w:rPr>
          <w:lang w:val="ru-RU"/>
        </w:rPr>
        <w:t>ке</w:t>
      </w:r>
      <w:r w:rsidR="008C7A93" w:rsidRPr="00DF1530">
        <w:rPr>
          <w:lang w:val="ru-RU"/>
        </w:rPr>
        <w:t xml:space="preserve"> 1.5</w:t>
      </w:r>
      <w:r w:rsidR="00D3769A" w:rsidRPr="00DF1530">
        <w:rPr>
          <w:lang w:val="ru-RU"/>
        </w:rPr>
        <w:t>,</w:t>
      </w:r>
      <w:r w:rsidR="008C7A93" w:rsidRPr="00DF1530">
        <w:rPr>
          <w:lang w:val="ru-RU"/>
        </w:rPr>
        <w:t xml:space="preserve"> </w:t>
      </w:r>
      <w:r w:rsidR="00D3769A" w:rsidRPr="00DF1530">
        <w:rPr>
          <w:lang w:val="ru-RU"/>
        </w:rPr>
        <w:t xml:space="preserve">меньше </w:t>
      </w:r>
      <w:r w:rsidR="008C7A93" w:rsidRPr="00DF1530">
        <w:rPr>
          <w:lang w:val="ru-RU"/>
        </w:rPr>
        <w:t xml:space="preserve">6% </w:t>
      </w:r>
      <w:r w:rsidR="00D3769A" w:rsidRPr="00DF1530">
        <w:rPr>
          <w:lang w:val="ru-RU"/>
        </w:rPr>
        <w:t xml:space="preserve">российских </w:t>
      </w:r>
      <w:r w:rsidR="00F736B7" w:rsidRPr="00DF1530">
        <w:rPr>
          <w:lang w:val="ru-RU"/>
        </w:rPr>
        <w:t>МСП</w:t>
      </w:r>
      <w:r w:rsidR="008C7A93" w:rsidRPr="00DF1530">
        <w:rPr>
          <w:lang w:val="ru-RU"/>
        </w:rPr>
        <w:t xml:space="preserve"> </w:t>
      </w:r>
      <w:r w:rsidR="00D3769A" w:rsidRPr="00DF1530">
        <w:rPr>
          <w:lang w:val="ru-RU"/>
        </w:rPr>
        <w:t xml:space="preserve">сообщили об участии в инновационной </w:t>
      </w:r>
      <w:r w:rsidR="00834072" w:rsidRPr="00DF1530">
        <w:rPr>
          <w:lang w:val="ru-RU"/>
        </w:rPr>
        <w:t>деятельност</w:t>
      </w:r>
      <w:r w:rsidR="00D3769A" w:rsidRPr="00DF1530">
        <w:rPr>
          <w:lang w:val="ru-RU"/>
        </w:rPr>
        <w:t>и</w:t>
      </w:r>
      <w:r w:rsidR="008C7A93" w:rsidRPr="00DF1530">
        <w:rPr>
          <w:lang w:val="ru-RU"/>
        </w:rPr>
        <w:t xml:space="preserve"> </w:t>
      </w:r>
      <w:r w:rsidR="00D3769A" w:rsidRPr="00DF1530">
        <w:rPr>
          <w:lang w:val="ru-RU"/>
        </w:rPr>
        <w:t xml:space="preserve">любого рода </w:t>
      </w:r>
      <w:r w:rsidR="008C7A93" w:rsidRPr="00DF1530">
        <w:rPr>
          <w:lang w:val="ru-RU"/>
        </w:rPr>
        <w:t>(</w:t>
      </w:r>
      <w:r w:rsidR="00D3769A" w:rsidRPr="00DF1530">
        <w:rPr>
          <w:lang w:val="ru-RU"/>
        </w:rPr>
        <w:t>продукты</w:t>
      </w:r>
      <w:r w:rsidR="008C7A93" w:rsidRPr="00DF1530">
        <w:rPr>
          <w:lang w:val="ru-RU"/>
        </w:rPr>
        <w:t xml:space="preserve">, </w:t>
      </w:r>
      <w:r w:rsidR="00D3769A" w:rsidRPr="00DF1530">
        <w:rPr>
          <w:lang w:val="ru-RU"/>
        </w:rPr>
        <w:t>технологии</w:t>
      </w:r>
      <w:r w:rsidR="008C7A93" w:rsidRPr="00DF1530">
        <w:rPr>
          <w:lang w:val="ru-RU"/>
        </w:rPr>
        <w:t xml:space="preserve">, </w:t>
      </w:r>
      <w:r w:rsidR="00D3769A" w:rsidRPr="00DF1530">
        <w:rPr>
          <w:lang w:val="ru-RU"/>
        </w:rPr>
        <w:t>маркетинг или организационные вопросы</w:t>
      </w:r>
      <w:r w:rsidR="008C7A93" w:rsidRPr="00DF1530">
        <w:rPr>
          <w:lang w:val="ru-RU"/>
        </w:rPr>
        <w:t xml:space="preserve">) </w:t>
      </w:r>
      <w:r w:rsidR="00D3769A" w:rsidRPr="00DF1530">
        <w:rPr>
          <w:lang w:val="ru-RU"/>
        </w:rPr>
        <w:t>в</w:t>
      </w:r>
      <w:r w:rsidR="008C7A93" w:rsidRPr="00DF1530">
        <w:rPr>
          <w:lang w:val="ru-RU"/>
        </w:rPr>
        <w:t xml:space="preserve"> 2009-11</w:t>
      </w:r>
      <w:r w:rsidR="00D3769A" w:rsidRPr="00DF1530">
        <w:rPr>
          <w:lang w:val="ru-RU"/>
        </w:rPr>
        <w:t xml:space="preserve"> гг.</w:t>
      </w:r>
      <w:r w:rsidR="008C7A93" w:rsidRPr="00DF1530">
        <w:rPr>
          <w:lang w:val="ru-RU"/>
        </w:rPr>
        <w:t xml:space="preserve">, </w:t>
      </w:r>
      <w:r w:rsidR="00F736B7" w:rsidRPr="00DF1530">
        <w:rPr>
          <w:lang w:val="ru-RU"/>
        </w:rPr>
        <w:t>по сравнению с</w:t>
      </w:r>
      <w:r w:rsidR="00D3769A" w:rsidRPr="00DF1530">
        <w:rPr>
          <w:lang w:val="ru-RU"/>
        </w:rPr>
        <w:t xml:space="preserve">о средним показателем около </w:t>
      </w:r>
      <w:r w:rsidR="008C7A93" w:rsidRPr="00DF1530">
        <w:rPr>
          <w:lang w:val="ru-RU"/>
        </w:rPr>
        <w:t xml:space="preserve">50% </w:t>
      </w:r>
      <w:r w:rsidR="00D3769A" w:rsidRPr="00DF1530">
        <w:rPr>
          <w:lang w:val="ru-RU"/>
        </w:rPr>
        <w:t>в странах ОЭСР</w:t>
      </w:r>
      <w:r w:rsidR="008C7A93" w:rsidRPr="00DF1530">
        <w:rPr>
          <w:lang w:val="ru-RU"/>
        </w:rPr>
        <w:t xml:space="preserve">. </w:t>
      </w:r>
      <w:r w:rsidR="00D3769A" w:rsidRPr="00DF1530">
        <w:rPr>
          <w:lang w:val="ru-RU"/>
        </w:rPr>
        <w:t>Аналогичным образом</w:t>
      </w:r>
      <w:r w:rsidR="008C7A93" w:rsidRPr="00DF1530">
        <w:rPr>
          <w:lang w:val="ru-RU"/>
        </w:rPr>
        <w:t xml:space="preserve">, </w:t>
      </w:r>
      <w:r w:rsidR="00D3769A" w:rsidRPr="00DF1530">
        <w:rPr>
          <w:lang w:val="ru-RU"/>
        </w:rPr>
        <w:t xml:space="preserve">правительственное исследование </w:t>
      </w:r>
      <w:r w:rsidR="00834072" w:rsidRPr="00DF1530">
        <w:rPr>
          <w:lang w:val="ru-RU"/>
        </w:rPr>
        <w:t>МСП</w:t>
      </w:r>
      <w:r w:rsidR="008C7A93" w:rsidRPr="00DF1530">
        <w:rPr>
          <w:lang w:val="ru-RU"/>
        </w:rPr>
        <w:t xml:space="preserve"> </w:t>
      </w:r>
      <w:r w:rsidR="00D3769A" w:rsidRPr="00DF1530">
        <w:rPr>
          <w:lang w:val="ru-RU"/>
        </w:rPr>
        <w:t xml:space="preserve">в 2011 году показало, что </w:t>
      </w:r>
      <w:r w:rsidR="0047268B" w:rsidRPr="00DF1530">
        <w:rPr>
          <w:lang w:val="ru-RU"/>
        </w:rPr>
        <w:t>только</w:t>
      </w:r>
      <w:r w:rsidR="008C7A93" w:rsidRPr="00DF1530">
        <w:rPr>
          <w:lang w:val="ru-RU"/>
        </w:rPr>
        <w:t xml:space="preserve"> 1</w:t>
      </w:r>
      <w:r w:rsidR="00D3769A" w:rsidRPr="00DF1530">
        <w:rPr>
          <w:lang w:val="ru-RU"/>
        </w:rPr>
        <w:t>,</w:t>
      </w:r>
      <w:r w:rsidR="008C7A93" w:rsidRPr="00DF1530">
        <w:rPr>
          <w:lang w:val="ru-RU"/>
        </w:rPr>
        <w:t xml:space="preserve">6% </w:t>
      </w:r>
      <w:r w:rsidR="00F736B7" w:rsidRPr="00DF1530">
        <w:rPr>
          <w:lang w:val="ru-RU"/>
        </w:rPr>
        <w:t>МСП</w:t>
      </w:r>
      <w:r w:rsidR="008C7A93" w:rsidRPr="00DF1530">
        <w:rPr>
          <w:lang w:val="ru-RU"/>
        </w:rPr>
        <w:t xml:space="preserve"> </w:t>
      </w:r>
      <w:r w:rsidR="00F84433" w:rsidRPr="00DF1530">
        <w:rPr>
          <w:lang w:val="ru-RU"/>
        </w:rPr>
        <w:t xml:space="preserve">целевым образом </w:t>
      </w:r>
      <w:r w:rsidR="00D3769A" w:rsidRPr="00DF1530">
        <w:rPr>
          <w:lang w:val="ru-RU"/>
        </w:rPr>
        <w:t>расходуют средства на инновации</w:t>
      </w:r>
      <w:r w:rsidR="008C7A93" w:rsidRPr="00DF1530">
        <w:rPr>
          <w:lang w:val="ru-RU"/>
        </w:rPr>
        <w:t xml:space="preserve">. </w:t>
      </w:r>
      <w:r w:rsidR="00D3769A" w:rsidRPr="00DF1530">
        <w:rPr>
          <w:lang w:val="ru-RU"/>
        </w:rPr>
        <w:t xml:space="preserve">Согласно обзору </w:t>
      </w:r>
      <w:r w:rsidR="008C7A93" w:rsidRPr="00DF1530">
        <w:rPr>
          <w:lang w:val="ru-RU"/>
        </w:rPr>
        <w:t>GEM</w:t>
      </w:r>
      <w:r w:rsidR="00D3769A" w:rsidRPr="00DF1530">
        <w:rPr>
          <w:lang w:val="ru-RU"/>
        </w:rPr>
        <w:t>,</w:t>
      </w:r>
      <w:r w:rsidR="008C7A93" w:rsidRPr="00DF1530">
        <w:rPr>
          <w:lang w:val="ru-RU"/>
        </w:rPr>
        <w:t xml:space="preserve"> 70-80% </w:t>
      </w:r>
      <w:r w:rsidR="00D3769A" w:rsidRPr="00DF1530">
        <w:rPr>
          <w:lang w:val="ru-RU"/>
        </w:rPr>
        <w:t xml:space="preserve">российских </w:t>
      </w:r>
      <w:r w:rsidR="00347E3A" w:rsidRPr="00DF1530">
        <w:rPr>
          <w:lang w:val="ru-RU"/>
        </w:rPr>
        <w:t>предпринимател</w:t>
      </w:r>
      <w:r w:rsidR="00D3769A" w:rsidRPr="00DF1530">
        <w:rPr>
          <w:lang w:val="ru-RU"/>
        </w:rPr>
        <w:t>ей</w:t>
      </w:r>
      <w:r w:rsidR="008C7A93" w:rsidRPr="00DF1530">
        <w:rPr>
          <w:lang w:val="ru-RU"/>
        </w:rPr>
        <w:t xml:space="preserve"> </w:t>
      </w:r>
      <w:r w:rsidR="00D3769A" w:rsidRPr="00DF1530">
        <w:rPr>
          <w:lang w:val="ru-RU"/>
        </w:rPr>
        <w:t>предлагают продукты и услуги,</w:t>
      </w:r>
      <w:r w:rsidR="008C7A93" w:rsidRPr="00DF1530">
        <w:rPr>
          <w:lang w:val="ru-RU"/>
        </w:rPr>
        <w:t xml:space="preserve"> </w:t>
      </w:r>
      <w:r w:rsidR="00D3769A" w:rsidRPr="00DF1530">
        <w:rPr>
          <w:lang w:val="ru-RU"/>
        </w:rPr>
        <w:t>не являющиеся новыми для клиентов</w:t>
      </w:r>
      <w:r w:rsidR="008C7A93" w:rsidRPr="00DF1530">
        <w:rPr>
          <w:lang w:val="ru-RU"/>
        </w:rPr>
        <w:t xml:space="preserve">, </w:t>
      </w:r>
      <w:r w:rsidR="00D3769A" w:rsidRPr="00DF1530">
        <w:rPr>
          <w:lang w:val="ru-RU"/>
        </w:rPr>
        <w:t xml:space="preserve">и </w:t>
      </w:r>
      <w:r w:rsidR="008C7A93" w:rsidRPr="00DF1530">
        <w:rPr>
          <w:lang w:val="ru-RU"/>
        </w:rPr>
        <w:t xml:space="preserve">92% </w:t>
      </w:r>
      <w:r w:rsidR="00D3769A" w:rsidRPr="00DF1530">
        <w:rPr>
          <w:lang w:val="ru-RU"/>
        </w:rPr>
        <w:t>признали, что не используют новые технологии в своей хозяйственной деятельности</w:t>
      </w:r>
      <w:r w:rsidR="008C7A93" w:rsidRPr="00DF1530">
        <w:rPr>
          <w:lang w:val="ru-RU"/>
        </w:rPr>
        <w:t xml:space="preserve">. </w:t>
      </w:r>
      <w:r w:rsidR="00D3769A" w:rsidRPr="00DF1530">
        <w:rPr>
          <w:lang w:val="ru-RU"/>
        </w:rPr>
        <w:t>С другой стороны</w:t>
      </w:r>
      <w:r w:rsidR="008C7A93" w:rsidRPr="00DF1530">
        <w:rPr>
          <w:lang w:val="ru-RU"/>
        </w:rPr>
        <w:t xml:space="preserve">, </w:t>
      </w:r>
      <w:r w:rsidR="00D3769A" w:rsidRPr="00DF1530">
        <w:rPr>
          <w:lang w:val="ru-RU"/>
        </w:rPr>
        <w:t xml:space="preserve">к </w:t>
      </w:r>
      <w:r w:rsidR="008C7A93" w:rsidRPr="00DF1530">
        <w:rPr>
          <w:lang w:val="ru-RU"/>
        </w:rPr>
        <w:t>2012</w:t>
      </w:r>
      <w:r w:rsidR="00D3769A" w:rsidRPr="00DF1530">
        <w:rPr>
          <w:lang w:val="ru-RU"/>
        </w:rPr>
        <w:t xml:space="preserve"> году</w:t>
      </w:r>
      <w:r w:rsidR="008C7A93" w:rsidRPr="00DF1530">
        <w:rPr>
          <w:lang w:val="ru-RU"/>
        </w:rPr>
        <w:t xml:space="preserve"> </w:t>
      </w:r>
      <w:r w:rsidR="00D3769A" w:rsidRPr="00DF1530">
        <w:rPr>
          <w:lang w:val="ru-RU"/>
        </w:rPr>
        <w:t>две трети</w:t>
      </w:r>
      <w:r w:rsidR="008C7A93" w:rsidRPr="00DF1530">
        <w:rPr>
          <w:lang w:val="ru-RU"/>
        </w:rPr>
        <w:t xml:space="preserve"> </w:t>
      </w:r>
      <w:r w:rsidR="00D3769A" w:rsidRPr="00DF1530">
        <w:rPr>
          <w:lang w:val="ru-RU"/>
        </w:rPr>
        <w:t xml:space="preserve">предприятий в </w:t>
      </w:r>
      <w:r w:rsidR="00701FAE" w:rsidRPr="00DF1530">
        <w:rPr>
          <w:lang w:val="ru-RU"/>
        </w:rPr>
        <w:t>Российской Федерации</w:t>
      </w:r>
      <w:r w:rsidR="008C7A93" w:rsidRPr="00DF1530">
        <w:rPr>
          <w:lang w:val="ru-RU"/>
        </w:rPr>
        <w:t xml:space="preserve"> </w:t>
      </w:r>
      <w:r w:rsidR="00D3769A" w:rsidRPr="00DF1530">
        <w:rPr>
          <w:lang w:val="ru-RU"/>
        </w:rPr>
        <w:t>использовали свои собственные сайты в Интернете, согласно Обзору по предприятиям МФК</w:t>
      </w:r>
      <w:r w:rsidR="008C7A93" w:rsidRPr="00DF1530">
        <w:rPr>
          <w:lang w:val="ru-RU"/>
        </w:rPr>
        <w:t>/</w:t>
      </w:r>
      <w:r w:rsidR="00D3769A" w:rsidRPr="00DF1530">
        <w:rPr>
          <w:lang w:val="ru-RU"/>
        </w:rPr>
        <w:t>Всемирного банка</w:t>
      </w:r>
      <w:r w:rsidR="008C7A93" w:rsidRPr="00DF1530">
        <w:rPr>
          <w:lang w:val="ru-RU"/>
        </w:rPr>
        <w:t xml:space="preserve">, </w:t>
      </w:r>
      <w:r w:rsidR="00F736B7" w:rsidRPr="00DF1530">
        <w:rPr>
          <w:lang w:val="ru-RU"/>
        </w:rPr>
        <w:t>по сравнению с</w:t>
      </w:r>
      <w:r w:rsidR="008C7A93" w:rsidRPr="00DF1530">
        <w:rPr>
          <w:lang w:val="ru-RU"/>
        </w:rPr>
        <w:t xml:space="preserve"> </w:t>
      </w:r>
      <w:r w:rsidR="00D3769A" w:rsidRPr="00DF1530">
        <w:rPr>
          <w:lang w:val="ru-RU"/>
        </w:rPr>
        <w:t>менее чем половиной в Восточной Европе</w:t>
      </w:r>
      <w:r w:rsidR="008C7A93" w:rsidRPr="00DF1530">
        <w:rPr>
          <w:lang w:val="ru-RU"/>
        </w:rPr>
        <w:t xml:space="preserve"> </w:t>
      </w:r>
      <w:r w:rsidR="00D3769A" w:rsidRPr="00DF1530">
        <w:rPr>
          <w:lang w:val="ru-RU"/>
        </w:rPr>
        <w:t>и Центральной Азии,</w:t>
      </w:r>
      <w:r w:rsidR="008C7A93" w:rsidRPr="00DF1530">
        <w:rPr>
          <w:lang w:val="ru-RU"/>
        </w:rPr>
        <w:t xml:space="preserve"> </w:t>
      </w:r>
      <w:r w:rsidR="00D3769A" w:rsidRPr="00DF1530">
        <w:rPr>
          <w:lang w:val="ru-RU"/>
        </w:rPr>
        <w:t>а также в странах с доходами выше среднего</w:t>
      </w:r>
      <w:r w:rsidR="008C7A93" w:rsidRPr="00DF1530">
        <w:rPr>
          <w:lang w:val="ru-RU"/>
        </w:rPr>
        <w:t>.</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1.5.</w:t>
      </w:r>
      <w:r w:rsidR="008C7A93" w:rsidRPr="00DF1530">
        <w:rPr>
          <w:lang w:val="ru-RU"/>
        </w:rPr>
        <w:tab/>
      </w:r>
      <w:r w:rsidR="005747D3" w:rsidRPr="00DF1530">
        <w:rPr>
          <w:lang w:val="ru-RU"/>
        </w:rPr>
        <w:t xml:space="preserve">Инновационные </w:t>
      </w:r>
      <w:r w:rsidR="00F736B7" w:rsidRPr="00DF1530">
        <w:rPr>
          <w:lang w:val="ru-RU"/>
        </w:rPr>
        <w:t>МСП</w:t>
      </w:r>
      <w:r w:rsidR="008C7A93" w:rsidRPr="00DF1530">
        <w:rPr>
          <w:lang w:val="ru-RU"/>
        </w:rPr>
        <w:t xml:space="preserve"> </w:t>
      </w:r>
      <w:r w:rsidR="005747D3" w:rsidRPr="00DF1530">
        <w:rPr>
          <w:lang w:val="ru-RU"/>
        </w:rPr>
        <w:t xml:space="preserve">по видам </w:t>
      </w:r>
      <w:r w:rsidR="00D3769A" w:rsidRPr="00DF1530">
        <w:rPr>
          <w:lang w:val="ru-RU"/>
        </w:rPr>
        <w:t>инноваци</w:t>
      </w:r>
      <w:r w:rsidR="005747D3" w:rsidRPr="00DF1530">
        <w:rPr>
          <w:lang w:val="ru-RU"/>
        </w:rPr>
        <w:t>й</w:t>
      </w:r>
      <w:r w:rsidR="008C7A93" w:rsidRPr="00DF1530">
        <w:rPr>
          <w:lang w:val="ru-RU"/>
        </w:rPr>
        <w:t>, 2008-10</w:t>
      </w:r>
      <w:r w:rsidR="005747D3" w:rsidRPr="00DF1530">
        <w:rPr>
          <w:lang w:val="ru-RU"/>
        </w:rPr>
        <w:t xml:space="preserve"> гг.</w:t>
      </w:r>
      <w:r w:rsidR="009030BD" w:rsidRPr="00DF1530">
        <w:rPr>
          <w:lang w:val="ru-RU"/>
        </w:rPr>
        <w:fldChar w:fldCharType="begin"/>
      </w:r>
      <w:r w:rsidR="008C7A93" w:rsidRPr="00DF1530">
        <w:rPr>
          <w:lang w:val="ru-RU"/>
        </w:rPr>
        <w:instrText xml:space="preserve"> TC \f f \l 2 "</w:instrText>
      </w:r>
      <w:bookmarkStart w:id="35" w:name="_Toc411604105"/>
      <w:r w:rsidR="008C7A93" w:rsidRPr="00DF1530">
        <w:rPr>
          <w:lang w:val="ru-RU"/>
        </w:rPr>
        <w:instrText>Figure 1.5.</w:instrText>
      </w:r>
      <w:r w:rsidR="008C7A93" w:rsidRPr="00DF1530">
        <w:rPr>
          <w:lang w:val="ru-RU"/>
        </w:rPr>
        <w:tab/>
        <w:instrText>Innovating SMEs by type of innovation, 2008-10</w:instrText>
      </w:r>
      <w:bookmarkEnd w:id="35"/>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Graphic"/>
        <w:rPr>
          <w:lang w:val="ru-RU"/>
        </w:rPr>
      </w:pPr>
      <w:r w:rsidRPr="00DF1530">
        <w:rPr>
          <w:noProof/>
          <w:lang w:val="ru-RU" w:eastAsia="ru-RU"/>
        </w:rPr>
        <w:drawing>
          <wp:inline distT="0" distB="0" distL="0" distR="0">
            <wp:extent cx="6203559" cy="4341412"/>
            <wp:effectExtent l="0" t="0" r="698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057" cy="4345960"/>
                    </a:xfrm>
                    <a:prstGeom prst="rect">
                      <a:avLst/>
                    </a:prstGeom>
                    <a:noFill/>
                  </pic:spPr>
                </pic:pic>
              </a:graphicData>
            </a:graphic>
          </wp:inline>
        </w:drawing>
      </w:r>
    </w:p>
    <w:p w:rsidR="005747D3" w:rsidRPr="00DF1530" w:rsidRDefault="005747D3" w:rsidP="005747D3">
      <w:pPr>
        <w:pStyle w:val="FigureNote"/>
        <w:rPr>
          <w:lang w:val="ru-RU"/>
        </w:rPr>
      </w:pPr>
      <w:r w:rsidRPr="00DF1530">
        <w:rPr>
          <w:lang w:val="ru-RU"/>
        </w:rPr>
        <w:t>Только маркетинговые или организационные инновации</w:t>
      </w:r>
    </w:p>
    <w:p w:rsidR="005747D3" w:rsidRPr="00DF1530" w:rsidRDefault="005747D3" w:rsidP="005747D3">
      <w:pPr>
        <w:pStyle w:val="FigureNote"/>
        <w:rPr>
          <w:lang w:val="ru-RU"/>
        </w:rPr>
      </w:pPr>
      <w:r w:rsidRPr="00DF1530">
        <w:rPr>
          <w:lang w:val="ru-RU"/>
        </w:rPr>
        <w:t>Инновации по продуктам или технологиям и маркетинговые или организационные инновации</w:t>
      </w:r>
    </w:p>
    <w:p w:rsidR="005747D3" w:rsidRPr="00DF1530" w:rsidRDefault="005747D3" w:rsidP="005747D3">
      <w:pPr>
        <w:pStyle w:val="FigureNote"/>
        <w:rPr>
          <w:lang w:val="ru-RU"/>
        </w:rPr>
      </w:pPr>
      <w:r w:rsidRPr="00DF1530">
        <w:rPr>
          <w:lang w:val="ru-RU"/>
        </w:rPr>
        <w:t>Только инновации по продуктам или технологиям</w:t>
      </w:r>
    </w:p>
    <w:p w:rsidR="005747D3" w:rsidRPr="00DF1530" w:rsidRDefault="005747D3" w:rsidP="005747D3">
      <w:pPr>
        <w:pStyle w:val="FigureNote"/>
        <w:rPr>
          <w:lang w:val="ru-RU"/>
        </w:rPr>
      </w:pP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5E53F2" w:rsidRPr="00DF1530">
        <w:rPr>
          <w:lang w:val="ru-RU"/>
        </w:rPr>
        <w:t>ОЭСР</w:t>
      </w:r>
      <w:r w:rsidR="008C7A93" w:rsidRPr="00BA51F1">
        <w:rPr>
          <w:lang w:val="en-US"/>
        </w:rPr>
        <w:t xml:space="preserve"> (2013), </w:t>
      </w:r>
      <w:r w:rsidR="005747D3" w:rsidRPr="00BA51F1">
        <w:rPr>
          <w:lang w:val="en-US"/>
        </w:rPr>
        <w:t>OECD</w:t>
      </w:r>
      <w:r w:rsidR="008C7A93" w:rsidRPr="00BA51F1">
        <w:rPr>
          <w:lang w:val="en-US"/>
        </w:rPr>
        <w:t xml:space="preserve"> Science, Technology and Industry Scoreboard 2013, </w:t>
      </w:r>
      <w:r w:rsidR="004F360C" w:rsidRPr="00BA51F1">
        <w:rPr>
          <w:lang w:val="en-US"/>
        </w:rPr>
        <w:t>OECD Publishing</w:t>
      </w:r>
      <w:r w:rsidR="008C7A93" w:rsidRPr="00BA51F1">
        <w:rPr>
          <w:lang w:val="en-US"/>
        </w:rPr>
        <w:t>. http://dx.doi.org/10.1787/sti_scoreboard-2013-en.</w:t>
      </w:r>
    </w:p>
    <w:p w:rsidR="008C7A93" w:rsidRPr="00DF1530" w:rsidRDefault="00B10BF3" w:rsidP="008C7A93">
      <w:pPr>
        <w:pStyle w:val="31"/>
        <w:rPr>
          <w:lang w:val="ru-RU"/>
        </w:rPr>
      </w:pPr>
      <w:r w:rsidRPr="00DF1530">
        <w:rPr>
          <w:lang w:val="ru-RU"/>
        </w:rPr>
        <w:t>Малое число предприятий с высокими темпами роста</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28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10BF3" w:rsidRPr="00DF1530">
        <w:rPr>
          <w:lang w:val="ru-RU"/>
        </w:rPr>
        <w:t>В большинстве стран</w:t>
      </w:r>
      <w:r w:rsidR="008C7A93" w:rsidRPr="00DF1530">
        <w:rPr>
          <w:lang w:val="ru-RU"/>
        </w:rPr>
        <w:t xml:space="preserve"> </w:t>
      </w:r>
      <w:r w:rsidR="00B10BF3" w:rsidRPr="00DF1530">
        <w:rPr>
          <w:lang w:val="ru-RU"/>
        </w:rPr>
        <w:t xml:space="preserve">небольшое количество </w:t>
      </w:r>
      <w:r w:rsidR="00834072" w:rsidRPr="00DF1530">
        <w:rPr>
          <w:lang w:val="ru-RU"/>
        </w:rPr>
        <w:t>предприяти</w:t>
      </w:r>
      <w:r w:rsidR="00B10BF3" w:rsidRPr="00DF1530">
        <w:rPr>
          <w:lang w:val="ru-RU"/>
        </w:rPr>
        <w:t>й с высокими темпами роста</w:t>
      </w:r>
      <w:r w:rsidR="008C7A93" w:rsidRPr="00DF1530">
        <w:rPr>
          <w:lang w:val="ru-RU"/>
        </w:rPr>
        <w:t xml:space="preserve"> </w:t>
      </w:r>
      <w:r w:rsidR="00B10BF3" w:rsidRPr="00DF1530">
        <w:rPr>
          <w:lang w:val="ru-RU"/>
        </w:rPr>
        <w:t>играет важную и очень непропорциональную роль в создании рабочих мест</w:t>
      </w:r>
      <w:r w:rsidR="008C7A93" w:rsidRPr="00DF1530">
        <w:rPr>
          <w:lang w:val="ru-RU"/>
        </w:rPr>
        <w:t xml:space="preserve">, </w:t>
      </w:r>
      <w:r w:rsidR="00B10BF3" w:rsidRPr="00DF1530">
        <w:rPr>
          <w:lang w:val="ru-RU"/>
        </w:rPr>
        <w:t xml:space="preserve">нередко – за счет некоторого вида </w:t>
      </w:r>
      <w:r w:rsidR="00D3769A" w:rsidRPr="00DF1530">
        <w:rPr>
          <w:lang w:val="ru-RU"/>
        </w:rPr>
        <w:t>инноваци</w:t>
      </w:r>
      <w:r w:rsidR="00B10BF3" w:rsidRPr="00DF1530">
        <w:rPr>
          <w:lang w:val="ru-RU"/>
        </w:rPr>
        <w:t>й</w:t>
      </w:r>
      <w:r w:rsidR="008C7A93" w:rsidRPr="00DF1530">
        <w:rPr>
          <w:lang w:val="ru-RU"/>
        </w:rPr>
        <w:t xml:space="preserve">. </w:t>
      </w:r>
      <w:r w:rsidR="007C68D2" w:rsidRPr="00DF1530">
        <w:rPr>
          <w:lang w:val="ru-RU"/>
        </w:rPr>
        <w:t>Однако</w:t>
      </w:r>
      <w:r w:rsidR="008C7A93" w:rsidRPr="00DF1530">
        <w:rPr>
          <w:lang w:val="ru-RU"/>
        </w:rPr>
        <w:t xml:space="preserve"> </w:t>
      </w:r>
      <w:r w:rsidR="00B10BF3" w:rsidRPr="00DF1530">
        <w:rPr>
          <w:lang w:val="ru-RU"/>
        </w:rPr>
        <w:t xml:space="preserve">ограниченные статистические данные, имеющиеся по </w:t>
      </w:r>
      <w:r w:rsidR="004F360C" w:rsidRPr="00DF1530">
        <w:rPr>
          <w:lang w:val="ru-RU"/>
        </w:rPr>
        <w:t>Российск</w:t>
      </w:r>
      <w:r w:rsidR="00B10BF3" w:rsidRPr="00DF1530">
        <w:rPr>
          <w:lang w:val="ru-RU"/>
        </w:rPr>
        <w:t>ой</w:t>
      </w:r>
      <w:r w:rsidR="005E53F2" w:rsidRPr="00DF1530">
        <w:rPr>
          <w:lang w:val="ru-RU"/>
        </w:rPr>
        <w:t xml:space="preserve"> Федераци</w:t>
      </w:r>
      <w:r w:rsidR="00B10BF3" w:rsidRPr="00DF1530">
        <w:rPr>
          <w:lang w:val="ru-RU"/>
        </w:rPr>
        <w:t>и,</w:t>
      </w:r>
      <w:r w:rsidR="008C7A93" w:rsidRPr="00DF1530">
        <w:rPr>
          <w:lang w:val="ru-RU"/>
        </w:rPr>
        <w:t xml:space="preserve"> </w:t>
      </w:r>
      <w:r w:rsidR="00B10BF3" w:rsidRPr="00DF1530">
        <w:rPr>
          <w:lang w:val="ru-RU"/>
        </w:rPr>
        <w:t>показывают недостаточное количество предприятий с высокими темпами роста</w:t>
      </w:r>
      <w:r w:rsidR="008C7A93" w:rsidRPr="00DF1530">
        <w:rPr>
          <w:lang w:val="ru-RU"/>
        </w:rPr>
        <w:t xml:space="preserve">. </w:t>
      </w:r>
      <w:r w:rsidR="00B10BF3" w:rsidRPr="00DF1530">
        <w:rPr>
          <w:lang w:val="ru-RU"/>
        </w:rPr>
        <w:t>Так</w:t>
      </w:r>
      <w:r w:rsidR="008C7A93" w:rsidRPr="00DF1530">
        <w:rPr>
          <w:lang w:val="ru-RU"/>
        </w:rPr>
        <w:t xml:space="preserve">, </w:t>
      </w:r>
      <w:r w:rsidR="00B10BF3" w:rsidRPr="00DF1530">
        <w:rPr>
          <w:lang w:val="ru-RU"/>
        </w:rPr>
        <w:t>хотя это и не прямой показатель фактических темпов роста</w:t>
      </w:r>
      <w:r w:rsidR="008C7A93" w:rsidRPr="00DF1530">
        <w:rPr>
          <w:lang w:val="ru-RU"/>
        </w:rPr>
        <w:t xml:space="preserve">, </w:t>
      </w:r>
      <w:r w:rsidR="00B10BF3" w:rsidRPr="00DF1530">
        <w:rPr>
          <w:lang w:val="ru-RU"/>
        </w:rPr>
        <w:t xml:space="preserve">обзор </w:t>
      </w:r>
      <w:r w:rsidR="008C7A93" w:rsidRPr="00DF1530">
        <w:rPr>
          <w:lang w:val="ru-RU"/>
        </w:rPr>
        <w:t xml:space="preserve">GEM </w:t>
      </w:r>
      <w:r w:rsidR="00B10BF3" w:rsidRPr="00DF1530">
        <w:rPr>
          <w:lang w:val="ru-RU"/>
        </w:rPr>
        <w:t xml:space="preserve">показывает, что </w:t>
      </w:r>
      <w:r w:rsidR="00347E3A" w:rsidRPr="00DF1530">
        <w:rPr>
          <w:lang w:val="ru-RU"/>
        </w:rPr>
        <w:t>предприниматели</w:t>
      </w:r>
      <w:r w:rsidR="00B10BF3" w:rsidRPr="00DF1530">
        <w:rPr>
          <w:lang w:val="ru-RU"/>
        </w:rPr>
        <w:t>,</w:t>
      </w:r>
      <w:r w:rsidR="008C7A93" w:rsidRPr="00DF1530">
        <w:rPr>
          <w:lang w:val="ru-RU"/>
        </w:rPr>
        <w:t xml:space="preserve"> </w:t>
      </w:r>
      <w:r w:rsidR="00B10BF3" w:rsidRPr="00DF1530">
        <w:rPr>
          <w:lang w:val="ru-RU"/>
        </w:rPr>
        <w:t xml:space="preserve">планирующие создать более </w:t>
      </w:r>
      <w:r w:rsidR="008C7A93" w:rsidRPr="00DF1530">
        <w:rPr>
          <w:lang w:val="ru-RU"/>
        </w:rPr>
        <w:t xml:space="preserve">20 </w:t>
      </w:r>
      <w:r w:rsidR="00B10BF3" w:rsidRPr="00DF1530">
        <w:rPr>
          <w:lang w:val="ru-RU"/>
        </w:rPr>
        <w:t xml:space="preserve">рабочих мест за пять лет после создания предприятия, составляли в 2012 году </w:t>
      </w:r>
      <w:r w:rsidR="0047268B" w:rsidRPr="00DF1530">
        <w:rPr>
          <w:lang w:val="ru-RU"/>
        </w:rPr>
        <w:t>только</w:t>
      </w:r>
      <w:r w:rsidR="008C7A93" w:rsidRPr="00DF1530">
        <w:rPr>
          <w:lang w:val="ru-RU"/>
        </w:rPr>
        <w:t xml:space="preserve"> 0</w:t>
      </w:r>
      <w:r w:rsidR="00B10BF3" w:rsidRPr="00DF1530">
        <w:rPr>
          <w:lang w:val="ru-RU"/>
        </w:rPr>
        <w:t>,</w:t>
      </w:r>
      <w:r w:rsidR="008C7A93" w:rsidRPr="00DF1530">
        <w:rPr>
          <w:lang w:val="ru-RU"/>
        </w:rPr>
        <w:t xml:space="preserve">4% </w:t>
      </w:r>
      <w:r w:rsidR="00B10BF3" w:rsidRPr="00DF1530">
        <w:rPr>
          <w:lang w:val="ru-RU"/>
        </w:rPr>
        <w:t>взрослого населения</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B10BF3" w:rsidRPr="00DF1530">
        <w:rPr>
          <w:lang w:val="ru-RU"/>
        </w:rPr>
        <w:t>по сравнению,</w:t>
      </w:r>
      <w:r w:rsidR="008C7A93" w:rsidRPr="00DF1530">
        <w:rPr>
          <w:lang w:val="ru-RU"/>
        </w:rPr>
        <w:t xml:space="preserve"> </w:t>
      </w:r>
      <w:r w:rsidR="00592D7B" w:rsidRPr="00DF1530">
        <w:rPr>
          <w:lang w:val="ru-RU"/>
        </w:rPr>
        <w:t>к примеру</w:t>
      </w:r>
      <w:r w:rsidR="00B10BF3" w:rsidRPr="00DF1530">
        <w:rPr>
          <w:lang w:val="ru-RU"/>
        </w:rPr>
        <w:t>,</w:t>
      </w:r>
      <w:r w:rsidR="008C7A93" w:rsidRPr="00DF1530">
        <w:rPr>
          <w:lang w:val="ru-RU"/>
        </w:rPr>
        <w:t xml:space="preserve"> </w:t>
      </w:r>
      <w:r w:rsidR="00B10BF3" w:rsidRPr="00DF1530">
        <w:rPr>
          <w:lang w:val="ru-RU"/>
        </w:rPr>
        <w:t xml:space="preserve">с </w:t>
      </w:r>
      <w:r w:rsidR="008C7A93" w:rsidRPr="00DF1530">
        <w:rPr>
          <w:lang w:val="ru-RU"/>
        </w:rPr>
        <w:t>0</w:t>
      </w:r>
      <w:r w:rsidR="00B10BF3" w:rsidRPr="00DF1530">
        <w:rPr>
          <w:lang w:val="ru-RU"/>
        </w:rPr>
        <w:t>,</w:t>
      </w:r>
      <w:r w:rsidR="008C7A93" w:rsidRPr="00DF1530">
        <w:rPr>
          <w:lang w:val="ru-RU"/>
        </w:rPr>
        <w:t xml:space="preserve">7% </w:t>
      </w:r>
      <w:r w:rsidR="00B10BF3" w:rsidRPr="00DF1530">
        <w:rPr>
          <w:lang w:val="ru-RU"/>
        </w:rPr>
        <w:t>в</w:t>
      </w:r>
      <w:r w:rsidR="008C7A93" w:rsidRPr="00DF1530">
        <w:rPr>
          <w:lang w:val="ru-RU"/>
        </w:rPr>
        <w:t xml:space="preserve"> </w:t>
      </w:r>
      <w:r w:rsidR="00E359BA" w:rsidRPr="00DF1530">
        <w:rPr>
          <w:lang w:val="ru-RU"/>
        </w:rPr>
        <w:t>Бразили</w:t>
      </w:r>
      <w:r w:rsidR="00B10BF3" w:rsidRPr="00DF1530">
        <w:rPr>
          <w:lang w:val="ru-RU"/>
        </w:rPr>
        <w:t>и</w:t>
      </w:r>
      <w:r w:rsidR="008C7A93" w:rsidRPr="00DF1530">
        <w:rPr>
          <w:lang w:val="ru-RU"/>
        </w:rPr>
        <w:t>, 0</w:t>
      </w:r>
      <w:r w:rsidR="00B10BF3" w:rsidRPr="00DF1530">
        <w:rPr>
          <w:lang w:val="ru-RU"/>
        </w:rPr>
        <w:t>,</w:t>
      </w:r>
      <w:r w:rsidR="008C7A93" w:rsidRPr="00DF1530">
        <w:rPr>
          <w:lang w:val="ru-RU"/>
        </w:rPr>
        <w:t xml:space="preserve">6% </w:t>
      </w:r>
      <w:r w:rsidR="00B10BF3" w:rsidRPr="00DF1530">
        <w:rPr>
          <w:lang w:val="ru-RU"/>
        </w:rPr>
        <w:t>в</w:t>
      </w:r>
      <w:r w:rsidR="008C7A93" w:rsidRPr="00DF1530">
        <w:rPr>
          <w:lang w:val="ru-RU"/>
        </w:rPr>
        <w:t xml:space="preserve"> </w:t>
      </w:r>
      <w:r w:rsidR="00592D7B" w:rsidRPr="00DF1530">
        <w:rPr>
          <w:lang w:val="ru-RU"/>
        </w:rPr>
        <w:t>Мексик</w:t>
      </w:r>
      <w:r w:rsidR="00B10BF3" w:rsidRPr="00DF1530">
        <w:rPr>
          <w:lang w:val="ru-RU"/>
        </w:rPr>
        <w:t>е</w:t>
      </w:r>
      <w:r w:rsidR="008C7A93" w:rsidRPr="00DF1530">
        <w:rPr>
          <w:lang w:val="ru-RU"/>
        </w:rPr>
        <w:t>, 1</w:t>
      </w:r>
      <w:r w:rsidR="00B10BF3" w:rsidRPr="00DF1530">
        <w:rPr>
          <w:lang w:val="ru-RU"/>
        </w:rPr>
        <w:t>,</w:t>
      </w:r>
      <w:r w:rsidR="008C7A93" w:rsidRPr="00DF1530">
        <w:rPr>
          <w:lang w:val="ru-RU"/>
        </w:rPr>
        <w:t xml:space="preserve">7% </w:t>
      </w:r>
      <w:r w:rsidR="00CB734F" w:rsidRPr="00DF1530">
        <w:rPr>
          <w:lang w:val="ru-RU"/>
        </w:rPr>
        <w:t>в Китае</w:t>
      </w:r>
      <w:r w:rsidR="008C7A93" w:rsidRPr="00DF1530">
        <w:rPr>
          <w:lang w:val="ru-RU"/>
        </w:rPr>
        <w:t xml:space="preserve"> </w:t>
      </w:r>
      <w:r w:rsidR="00B10BF3" w:rsidRPr="00DF1530">
        <w:rPr>
          <w:lang w:val="ru-RU"/>
        </w:rPr>
        <w:t xml:space="preserve">и </w:t>
      </w:r>
      <w:r w:rsidR="008C7A93" w:rsidRPr="00DF1530">
        <w:rPr>
          <w:lang w:val="ru-RU"/>
        </w:rPr>
        <w:t>1</w:t>
      </w:r>
      <w:r w:rsidR="00B10BF3" w:rsidRPr="00DF1530">
        <w:rPr>
          <w:lang w:val="ru-RU"/>
        </w:rPr>
        <w:t>,</w:t>
      </w:r>
      <w:r w:rsidR="008C7A93" w:rsidRPr="00DF1530">
        <w:rPr>
          <w:lang w:val="ru-RU"/>
        </w:rPr>
        <w:t xml:space="preserve">7% </w:t>
      </w:r>
      <w:r w:rsidR="00B10BF3" w:rsidRPr="00DF1530">
        <w:rPr>
          <w:lang w:val="ru-RU"/>
        </w:rPr>
        <w:t xml:space="preserve">в </w:t>
      </w:r>
      <w:r w:rsidR="00692511" w:rsidRPr="00DF1530">
        <w:rPr>
          <w:lang w:val="ru-RU"/>
        </w:rPr>
        <w:t>Соедин</w:t>
      </w:r>
      <w:r w:rsidR="00BD465D" w:rsidRPr="00DF1530">
        <w:rPr>
          <w:lang w:val="ru-RU"/>
        </w:rPr>
        <w:t>е</w:t>
      </w:r>
      <w:r w:rsidR="00692511" w:rsidRPr="00DF1530">
        <w:rPr>
          <w:lang w:val="ru-RU"/>
        </w:rPr>
        <w:t>нны</w:t>
      </w:r>
      <w:r w:rsidR="00B10BF3" w:rsidRPr="00DF1530">
        <w:rPr>
          <w:lang w:val="ru-RU"/>
        </w:rPr>
        <w:t>х</w:t>
      </w:r>
      <w:r w:rsidR="00692511" w:rsidRPr="00DF1530">
        <w:rPr>
          <w:lang w:val="ru-RU"/>
        </w:rPr>
        <w:t xml:space="preserve"> Штат</w:t>
      </w:r>
      <w:r w:rsidR="00B10BF3" w:rsidRPr="00DF1530">
        <w:rPr>
          <w:lang w:val="ru-RU"/>
        </w:rPr>
        <w:t>ах</w:t>
      </w:r>
      <w:r w:rsidR="008C7A93" w:rsidRPr="00DF1530">
        <w:rPr>
          <w:lang w:val="ru-RU"/>
        </w:rPr>
        <w:t xml:space="preserve">. </w:t>
      </w:r>
    </w:p>
    <w:p w:rsidR="008C7A93" w:rsidRPr="00DF1530" w:rsidRDefault="00ED6915" w:rsidP="008C7A93">
      <w:pPr>
        <w:pStyle w:val="31"/>
        <w:rPr>
          <w:lang w:val="ru-RU"/>
        </w:rPr>
      </w:pPr>
      <w:r w:rsidRPr="00DF1530">
        <w:rPr>
          <w:lang w:val="ru-RU"/>
        </w:rPr>
        <w:lastRenderedPageBreak/>
        <w:t xml:space="preserve">Возможности для более стандартизированного определения </w:t>
      </w:r>
      <w:r w:rsidR="00834072" w:rsidRPr="00DF1530">
        <w:rPr>
          <w:lang w:val="ru-RU"/>
        </w:rPr>
        <w:t>МСП</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ED6915" w:rsidRPr="00DF1530">
        <w:rPr>
          <w:lang w:val="ru-RU"/>
        </w:rPr>
        <w:t xml:space="preserve">В </w:t>
      </w:r>
      <w:r w:rsidR="0032434C" w:rsidRPr="00DF1530">
        <w:rPr>
          <w:lang w:val="ru-RU"/>
        </w:rPr>
        <w:t>Ф</w:t>
      </w:r>
      <w:r w:rsidR="00ED6915" w:rsidRPr="00DF1530">
        <w:rPr>
          <w:lang w:val="ru-RU"/>
        </w:rPr>
        <w:t xml:space="preserve">едеральном законе </w:t>
      </w:r>
      <w:r w:rsidR="0032434C" w:rsidRPr="00DF1530">
        <w:rPr>
          <w:lang w:val="ru-RU"/>
        </w:rPr>
        <w:t xml:space="preserve">«О развитии малого и среднего предпринимательства в Российской Федерации» </w:t>
      </w:r>
      <w:r w:rsidR="00ED6915" w:rsidRPr="00DF1530">
        <w:rPr>
          <w:lang w:val="ru-RU"/>
        </w:rPr>
        <w:t xml:space="preserve">от </w:t>
      </w:r>
      <w:r w:rsidR="008C7A93" w:rsidRPr="00DF1530">
        <w:rPr>
          <w:lang w:val="ru-RU"/>
        </w:rPr>
        <w:t xml:space="preserve">2007 </w:t>
      </w:r>
      <w:r w:rsidR="00ED6915" w:rsidRPr="00DF1530">
        <w:rPr>
          <w:lang w:val="ru-RU"/>
        </w:rPr>
        <w:t xml:space="preserve">года было впервые введено понятие </w:t>
      </w:r>
      <w:r w:rsidR="00834072" w:rsidRPr="00DF1530">
        <w:rPr>
          <w:lang w:val="ru-RU"/>
        </w:rPr>
        <w:t>МСП</w:t>
      </w:r>
      <w:r w:rsidR="008C7A93" w:rsidRPr="00DF1530">
        <w:rPr>
          <w:lang w:val="ru-RU"/>
        </w:rPr>
        <w:t xml:space="preserve"> </w:t>
      </w:r>
      <w:r w:rsidR="00ED6915" w:rsidRPr="00DF1530">
        <w:rPr>
          <w:lang w:val="ru-RU"/>
        </w:rPr>
        <w:t>в российском законодательстве</w:t>
      </w:r>
      <w:r w:rsidR="008C7A93" w:rsidRPr="00DF1530">
        <w:rPr>
          <w:lang w:val="ru-RU"/>
        </w:rPr>
        <w:t xml:space="preserve"> </w:t>
      </w:r>
      <w:r w:rsidR="00ED6915" w:rsidRPr="00DF1530">
        <w:rPr>
          <w:lang w:val="ru-RU"/>
        </w:rPr>
        <w:t xml:space="preserve">с определением среднего </w:t>
      </w:r>
      <w:r w:rsidR="00834072" w:rsidRPr="00DF1530">
        <w:rPr>
          <w:lang w:val="ru-RU"/>
        </w:rPr>
        <w:t>предприяти</w:t>
      </w:r>
      <w:r w:rsidR="00ED6915" w:rsidRPr="00DF1530">
        <w:rPr>
          <w:lang w:val="ru-RU"/>
        </w:rPr>
        <w:t>я</w:t>
      </w:r>
      <w:r w:rsidR="008C7A93" w:rsidRPr="00DF1530">
        <w:rPr>
          <w:lang w:val="ru-RU"/>
        </w:rPr>
        <w:t xml:space="preserve"> </w:t>
      </w:r>
      <w:r w:rsidR="00ED6915" w:rsidRPr="00DF1530">
        <w:rPr>
          <w:lang w:val="ru-RU"/>
        </w:rPr>
        <w:t>и признанием микро</w:t>
      </w:r>
      <w:r w:rsidR="00834072" w:rsidRPr="00DF1530">
        <w:rPr>
          <w:lang w:val="ru-RU"/>
        </w:rPr>
        <w:t>предприяти</w:t>
      </w:r>
      <w:r w:rsidR="00ED6915" w:rsidRPr="00DF1530">
        <w:rPr>
          <w:lang w:val="ru-RU"/>
        </w:rPr>
        <w:t>й</w:t>
      </w:r>
      <w:r w:rsidR="008C7A93" w:rsidRPr="00DF1530">
        <w:rPr>
          <w:lang w:val="ru-RU"/>
        </w:rPr>
        <w:t xml:space="preserve"> </w:t>
      </w:r>
      <w:r w:rsidR="00ED6915" w:rsidRPr="00DF1530">
        <w:rPr>
          <w:lang w:val="ru-RU"/>
        </w:rPr>
        <w:t>в качестве юридических лиц</w:t>
      </w:r>
      <w:r w:rsidR="008C7A93" w:rsidRPr="00DF1530">
        <w:rPr>
          <w:lang w:val="ru-RU"/>
        </w:rPr>
        <w:t xml:space="preserve">. </w:t>
      </w:r>
      <w:r w:rsidR="00CA64F9" w:rsidRPr="00DF1530">
        <w:rPr>
          <w:lang w:val="ru-RU"/>
        </w:rPr>
        <w:t>Это стало важными предпосылками для разработки политики, поскольку была определена целевая группа для стратегической поддержки</w:t>
      </w:r>
      <w:r w:rsidR="00EE50C3" w:rsidRPr="00DF1530">
        <w:rPr>
          <w:lang w:val="ru-RU"/>
        </w:rPr>
        <w:t>,</w:t>
      </w:r>
      <w:r w:rsidR="00CA64F9" w:rsidRPr="00DF1530">
        <w:rPr>
          <w:lang w:val="ru-RU"/>
        </w:rPr>
        <w:t xml:space="preserve"> и был создан статистический базис для лучшего мониторинга и оценки </w:t>
      </w:r>
      <w:r w:rsidR="00834072" w:rsidRPr="00DF1530">
        <w:rPr>
          <w:lang w:val="ru-RU"/>
        </w:rPr>
        <w:t>МСП</w:t>
      </w:r>
      <w:r w:rsidR="008C7A93" w:rsidRPr="00DF1530">
        <w:rPr>
          <w:lang w:val="ru-RU"/>
        </w:rPr>
        <w:t xml:space="preserve"> </w:t>
      </w:r>
      <w:r w:rsidR="00CA64F9" w:rsidRPr="00DF1530">
        <w:rPr>
          <w:lang w:val="ru-RU"/>
        </w:rPr>
        <w:t xml:space="preserve">и мер в области политики по </w:t>
      </w:r>
      <w:r w:rsidR="00834072" w:rsidRPr="00DF1530">
        <w:rPr>
          <w:lang w:val="ru-RU"/>
        </w:rPr>
        <w:t>предпринимательск</w:t>
      </w:r>
      <w:r w:rsidR="00CA64F9" w:rsidRPr="00DF1530">
        <w:rPr>
          <w:lang w:val="ru-RU"/>
        </w:rPr>
        <w:t>ой</w:t>
      </w:r>
      <w:r w:rsidR="00834072" w:rsidRPr="00DF1530">
        <w:rPr>
          <w:lang w:val="ru-RU"/>
        </w:rPr>
        <w:t xml:space="preserve"> деятельност</w:t>
      </w:r>
      <w:r w:rsidR="00CA64F9"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7268B" w:rsidRPr="00DF1530">
        <w:rPr>
          <w:lang w:val="ru-RU"/>
        </w:rPr>
        <w:t>Несмотря на</w:t>
      </w:r>
      <w:r w:rsidR="008C7A93" w:rsidRPr="00DF1530">
        <w:rPr>
          <w:lang w:val="ru-RU"/>
        </w:rPr>
        <w:t xml:space="preserve"> </w:t>
      </w:r>
      <w:r w:rsidR="00AC7574" w:rsidRPr="00DF1530">
        <w:rPr>
          <w:lang w:val="ru-RU"/>
        </w:rPr>
        <w:t>эти позитивные шаги</w:t>
      </w:r>
      <w:r w:rsidR="008C7A93" w:rsidRPr="00DF1530">
        <w:rPr>
          <w:lang w:val="ru-RU"/>
        </w:rPr>
        <w:t xml:space="preserve">, </w:t>
      </w:r>
      <w:r w:rsidR="00AC7574" w:rsidRPr="00DF1530">
        <w:rPr>
          <w:lang w:val="ru-RU"/>
        </w:rPr>
        <w:t xml:space="preserve">определение МСП в </w:t>
      </w:r>
      <w:r w:rsidR="004F360C" w:rsidRPr="00DF1530">
        <w:rPr>
          <w:lang w:val="ru-RU"/>
        </w:rPr>
        <w:t>Российск</w:t>
      </w:r>
      <w:r w:rsidR="00AC7574" w:rsidRPr="00DF1530">
        <w:rPr>
          <w:lang w:val="ru-RU"/>
        </w:rPr>
        <w:t>ой</w:t>
      </w:r>
      <w:r w:rsidR="005E53F2" w:rsidRPr="00DF1530">
        <w:rPr>
          <w:lang w:val="ru-RU"/>
        </w:rPr>
        <w:t xml:space="preserve"> Федераци</w:t>
      </w:r>
      <w:r w:rsidR="00AC7574" w:rsidRPr="00DF1530">
        <w:rPr>
          <w:lang w:val="ru-RU"/>
        </w:rPr>
        <w:t>и не соответствует обычной международной практике</w:t>
      </w:r>
      <w:r w:rsidR="008C7A93" w:rsidRPr="00DF1530">
        <w:rPr>
          <w:lang w:val="ru-RU"/>
        </w:rPr>
        <w:t xml:space="preserve">. </w:t>
      </w:r>
      <w:r w:rsidR="00592D7B" w:rsidRPr="00DF1530">
        <w:rPr>
          <w:lang w:val="ru-RU"/>
        </w:rPr>
        <w:t>К примеру</w:t>
      </w:r>
      <w:r w:rsidR="008C7A93" w:rsidRPr="00DF1530">
        <w:rPr>
          <w:lang w:val="ru-RU"/>
        </w:rPr>
        <w:t xml:space="preserve">, </w:t>
      </w:r>
      <w:r w:rsidR="00795AE6" w:rsidRPr="00DF1530">
        <w:rPr>
          <w:lang w:val="ru-RU"/>
        </w:rPr>
        <w:t xml:space="preserve">стандартный порог </w:t>
      </w:r>
      <w:r w:rsidR="00F84433" w:rsidRPr="00DF1530">
        <w:rPr>
          <w:lang w:val="ru-RU"/>
        </w:rPr>
        <w:t>занятости</w:t>
      </w:r>
      <w:r w:rsidR="00795AE6" w:rsidRPr="00DF1530">
        <w:rPr>
          <w:lang w:val="ru-RU"/>
        </w:rPr>
        <w:t xml:space="preserve"> для микропредприятия </w:t>
      </w:r>
      <w:r w:rsidR="00834072" w:rsidRPr="00DF1530">
        <w:rPr>
          <w:lang w:val="ru-RU"/>
        </w:rPr>
        <w:t>в Российской Федерации</w:t>
      </w:r>
      <w:r w:rsidR="008C7A93" w:rsidRPr="00DF1530">
        <w:rPr>
          <w:lang w:val="ru-RU"/>
        </w:rPr>
        <w:t xml:space="preserve"> </w:t>
      </w:r>
      <w:r w:rsidR="00795AE6" w:rsidRPr="00DF1530">
        <w:rPr>
          <w:lang w:val="ru-RU"/>
        </w:rPr>
        <w:t xml:space="preserve">– менее </w:t>
      </w:r>
      <w:r w:rsidR="008C7A93" w:rsidRPr="00DF1530">
        <w:rPr>
          <w:lang w:val="ru-RU"/>
        </w:rPr>
        <w:t xml:space="preserve">15 </w:t>
      </w:r>
      <w:r w:rsidR="00F736B7" w:rsidRPr="00DF1530">
        <w:rPr>
          <w:lang w:val="ru-RU"/>
        </w:rPr>
        <w:t>сотрудник</w:t>
      </w:r>
      <w:r w:rsidR="00795AE6" w:rsidRPr="00DF1530">
        <w:rPr>
          <w:lang w:val="ru-RU"/>
        </w:rPr>
        <w:t>ов</w:t>
      </w:r>
      <w:r w:rsidR="008C7A93" w:rsidRPr="00DF1530">
        <w:rPr>
          <w:lang w:val="ru-RU"/>
        </w:rPr>
        <w:t xml:space="preserve">, </w:t>
      </w:r>
      <w:r w:rsidR="00795AE6" w:rsidRPr="00DF1530">
        <w:rPr>
          <w:lang w:val="ru-RU"/>
        </w:rPr>
        <w:t xml:space="preserve">вместо обычного </w:t>
      </w:r>
      <w:r w:rsidR="00EE50C3" w:rsidRPr="00DF1530">
        <w:rPr>
          <w:lang w:val="ru-RU"/>
        </w:rPr>
        <w:t xml:space="preserve">для ОЭСР </w:t>
      </w:r>
      <w:r w:rsidR="00795AE6" w:rsidRPr="00DF1530">
        <w:rPr>
          <w:lang w:val="ru-RU"/>
        </w:rPr>
        <w:t>порога в менее 10 сотрудников</w:t>
      </w:r>
      <w:r w:rsidR="008C7A93" w:rsidRPr="00DF1530">
        <w:rPr>
          <w:lang w:val="ru-RU"/>
        </w:rPr>
        <w:t xml:space="preserve">. </w:t>
      </w:r>
      <w:r w:rsidR="00795AE6" w:rsidRPr="00DF1530">
        <w:rPr>
          <w:lang w:val="ru-RU"/>
        </w:rPr>
        <w:t>Аналогичным образом</w:t>
      </w:r>
      <w:r w:rsidR="008C7A93" w:rsidRPr="00DF1530">
        <w:rPr>
          <w:lang w:val="ru-RU"/>
        </w:rPr>
        <w:t xml:space="preserve">, </w:t>
      </w:r>
      <w:r w:rsidR="00795AE6" w:rsidRPr="00DF1530">
        <w:rPr>
          <w:lang w:val="ru-RU"/>
        </w:rPr>
        <w:t xml:space="preserve">верхний предел занятости для малых предприятий – до </w:t>
      </w:r>
      <w:r w:rsidR="008C7A93" w:rsidRPr="00DF1530">
        <w:rPr>
          <w:lang w:val="ru-RU"/>
        </w:rPr>
        <w:t xml:space="preserve">100 </w:t>
      </w:r>
      <w:r w:rsidR="00F736B7" w:rsidRPr="00DF1530">
        <w:rPr>
          <w:lang w:val="ru-RU"/>
        </w:rPr>
        <w:t>сотрудник</w:t>
      </w:r>
      <w:r w:rsidR="00795AE6" w:rsidRPr="00DF1530">
        <w:rPr>
          <w:lang w:val="ru-RU"/>
        </w:rPr>
        <w:t>ов, включительно</w:t>
      </w:r>
      <w:r w:rsidR="008C7A93" w:rsidRPr="00DF1530">
        <w:rPr>
          <w:lang w:val="ru-RU"/>
        </w:rPr>
        <w:t xml:space="preserve">, </w:t>
      </w:r>
      <w:r w:rsidR="00795AE6" w:rsidRPr="00DF1530">
        <w:rPr>
          <w:lang w:val="ru-RU"/>
        </w:rPr>
        <w:t xml:space="preserve">вместо обычного порога в </w:t>
      </w:r>
      <w:r w:rsidR="008C7A93" w:rsidRPr="00DF1530">
        <w:rPr>
          <w:lang w:val="ru-RU"/>
        </w:rPr>
        <w:t xml:space="preserve">10-49 </w:t>
      </w:r>
      <w:r w:rsidR="00F736B7" w:rsidRPr="00DF1530">
        <w:rPr>
          <w:lang w:val="ru-RU"/>
        </w:rPr>
        <w:t>сотрудник</w:t>
      </w:r>
      <w:r w:rsidR="00795AE6" w:rsidRPr="00DF1530">
        <w:rPr>
          <w:lang w:val="ru-RU"/>
        </w:rPr>
        <w:t>ов</w:t>
      </w:r>
      <w:r w:rsidR="008C7A93" w:rsidRPr="00DF1530">
        <w:rPr>
          <w:lang w:val="ru-RU"/>
        </w:rPr>
        <w:t xml:space="preserve">. </w:t>
      </w:r>
      <w:r w:rsidR="00795AE6" w:rsidRPr="00DF1530">
        <w:rPr>
          <w:lang w:val="ru-RU"/>
        </w:rPr>
        <w:t>Кроме того,</w:t>
      </w:r>
      <w:r w:rsidR="008C7A93" w:rsidRPr="00DF1530">
        <w:rPr>
          <w:lang w:val="ru-RU"/>
        </w:rPr>
        <w:t xml:space="preserve"> </w:t>
      </w:r>
      <w:r w:rsidR="00795AE6" w:rsidRPr="00DF1530">
        <w:rPr>
          <w:lang w:val="ru-RU"/>
        </w:rPr>
        <w:t>в последние годы были внесены некоторые изменения в определения</w:t>
      </w:r>
      <w:r w:rsidR="008C7A93" w:rsidRPr="00DF1530">
        <w:rPr>
          <w:lang w:val="ru-RU"/>
        </w:rPr>
        <w:t xml:space="preserve"> </w:t>
      </w:r>
      <w:r w:rsidR="00795AE6" w:rsidRPr="00DF1530">
        <w:rPr>
          <w:lang w:val="ru-RU"/>
        </w:rPr>
        <w:t xml:space="preserve">конкретных категорий </w:t>
      </w:r>
      <w:r w:rsidR="00F736B7" w:rsidRPr="00DF1530">
        <w:rPr>
          <w:lang w:val="ru-RU"/>
        </w:rPr>
        <w:t>МСП</w:t>
      </w:r>
      <w:r w:rsidR="008C7A93" w:rsidRPr="00DF1530">
        <w:rPr>
          <w:lang w:val="ru-RU"/>
        </w:rPr>
        <w:t xml:space="preserve">. </w:t>
      </w:r>
      <w:r w:rsidR="00795AE6" w:rsidRPr="00DF1530">
        <w:rPr>
          <w:lang w:val="ru-RU"/>
        </w:rPr>
        <w:t>Приведение определения МСП</w:t>
      </w:r>
      <w:r w:rsidR="008C7A93" w:rsidRPr="00DF1530">
        <w:rPr>
          <w:lang w:val="ru-RU"/>
        </w:rPr>
        <w:t xml:space="preserve"> </w:t>
      </w:r>
      <w:r w:rsidR="00795AE6" w:rsidRPr="00DF1530">
        <w:rPr>
          <w:lang w:val="ru-RU"/>
        </w:rPr>
        <w:t xml:space="preserve">в соответствие с международными нормами и </w:t>
      </w:r>
      <w:r w:rsidR="00F84433" w:rsidRPr="00DF1530">
        <w:rPr>
          <w:lang w:val="ru-RU"/>
        </w:rPr>
        <w:t>сохранение</w:t>
      </w:r>
      <w:r w:rsidR="00795AE6" w:rsidRPr="00DF1530">
        <w:rPr>
          <w:lang w:val="ru-RU"/>
        </w:rPr>
        <w:t xml:space="preserve"> этого определения</w:t>
      </w:r>
      <w:r w:rsidR="008C7A93" w:rsidRPr="00DF1530">
        <w:rPr>
          <w:lang w:val="ru-RU"/>
        </w:rPr>
        <w:t xml:space="preserve"> </w:t>
      </w:r>
      <w:r w:rsidR="00795AE6" w:rsidRPr="00DF1530">
        <w:rPr>
          <w:lang w:val="ru-RU"/>
        </w:rPr>
        <w:t xml:space="preserve">без изменений </w:t>
      </w:r>
      <w:r w:rsidR="00F57F57" w:rsidRPr="00DF1530">
        <w:rPr>
          <w:lang w:val="ru-RU"/>
        </w:rPr>
        <w:t>позволят улучшить информационную базу для разработки политики</w:t>
      </w:r>
      <w:r w:rsidR="008C7A93" w:rsidRPr="00DF1530">
        <w:rPr>
          <w:lang w:val="ru-RU"/>
        </w:rPr>
        <w:t xml:space="preserve">, </w:t>
      </w:r>
      <w:r w:rsidR="00F57F57" w:rsidRPr="00DF1530">
        <w:rPr>
          <w:lang w:val="ru-RU"/>
        </w:rPr>
        <w:t xml:space="preserve">упростив сопоставление показателей сектора </w:t>
      </w:r>
      <w:r w:rsidR="00834072" w:rsidRPr="00DF1530">
        <w:rPr>
          <w:lang w:val="ru-RU"/>
        </w:rPr>
        <w:t>МСП</w:t>
      </w:r>
      <w:r w:rsidR="008C7A93" w:rsidRPr="00DF1530">
        <w:rPr>
          <w:lang w:val="ru-RU"/>
        </w:rPr>
        <w:t xml:space="preserve"> </w:t>
      </w:r>
      <w:r w:rsidR="00F57F57" w:rsidRPr="00DF1530">
        <w:rPr>
          <w:lang w:val="ru-RU"/>
        </w:rPr>
        <w:t>на международном уровне</w:t>
      </w:r>
      <w:r w:rsidR="008C7A93" w:rsidRPr="00DF1530">
        <w:rPr>
          <w:lang w:val="ru-RU"/>
        </w:rPr>
        <w:t xml:space="preserve">, </w:t>
      </w:r>
      <w:r w:rsidR="00F57F57" w:rsidRPr="00DF1530">
        <w:rPr>
          <w:lang w:val="ru-RU"/>
        </w:rPr>
        <w:t xml:space="preserve">чтобы отслеживать происходящие изменения в российском секторе </w:t>
      </w:r>
      <w:r w:rsidR="00834072" w:rsidRPr="00DF1530">
        <w:rPr>
          <w:lang w:val="ru-RU"/>
        </w:rPr>
        <w:t>МСП</w:t>
      </w:r>
      <w:r w:rsidR="008C7A93" w:rsidRPr="00DF1530">
        <w:rPr>
          <w:lang w:val="ru-RU"/>
        </w:rPr>
        <w:t xml:space="preserve"> </w:t>
      </w:r>
      <w:r w:rsidR="00F57F57" w:rsidRPr="00DF1530">
        <w:rPr>
          <w:lang w:val="ru-RU"/>
        </w:rPr>
        <w:t>и проводить соответствующие</w:t>
      </w:r>
      <w:r w:rsidR="008C7A93" w:rsidRPr="00DF1530">
        <w:rPr>
          <w:lang w:val="ru-RU"/>
        </w:rPr>
        <w:t xml:space="preserve"> </w:t>
      </w:r>
      <w:r w:rsidR="00F57F57" w:rsidRPr="00DF1530">
        <w:rPr>
          <w:lang w:val="ru-RU"/>
        </w:rPr>
        <w:t>исследования по оценке политики</w:t>
      </w:r>
      <w:r w:rsidR="008C7A93" w:rsidRPr="00DF1530">
        <w:rPr>
          <w:lang w:val="ru-RU"/>
        </w:rPr>
        <w:t xml:space="preserve">. </w:t>
      </w:r>
    </w:p>
    <w:p w:rsidR="008C7A93" w:rsidRPr="00DF1530" w:rsidRDefault="004F3F5F" w:rsidP="008C7A93">
      <w:pPr>
        <w:pStyle w:val="31"/>
        <w:rPr>
          <w:lang w:val="ru-RU"/>
        </w:rPr>
      </w:pPr>
      <w:r w:rsidRPr="00DF1530">
        <w:rPr>
          <w:lang w:val="ru-RU"/>
        </w:rPr>
        <w:t xml:space="preserve">Основные </w:t>
      </w:r>
      <w:r w:rsidR="005E53F2" w:rsidRPr="00DF1530">
        <w:rPr>
          <w:lang w:val="ru-RU"/>
        </w:rPr>
        <w:t>рекомендации</w:t>
      </w:r>
      <w:r w:rsidR="008C7A93" w:rsidRPr="00DF1530">
        <w:rPr>
          <w:lang w:val="ru-RU"/>
        </w:rPr>
        <w:t xml:space="preserve"> </w:t>
      </w:r>
      <w:r w:rsidRPr="00DF1530">
        <w:rPr>
          <w:lang w:val="ru-RU"/>
        </w:rPr>
        <w:t xml:space="preserve">в области политики по показателям </w:t>
      </w:r>
      <w:r w:rsidR="003A1AC6" w:rsidRPr="00DF1530">
        <w:rPr>
          <w:lang w:val="ru-RU"/>
        </w:rPr>
        <w:t xml:space="preserve">по </w:t>
      </w:r>
      <w:r w:rsidR="00834072" w:rsidRPr="00DF1530">
        <w:rPr>
          <w:lang w:val="ru-RU"/>
        </w:rPr>
        <w:t>МСП</w:t>
      </w:r>
      <w:r w:rsidR="008C7A93" w:rsidRPr="00DF1530">
        <w:rPr>
          <w:lang w:val="ru-RU"/>
        </w:rPr>
        <w:t xml:space="preserve"> </w:t>
      </w:r>
      <w:r w:rsidRPr="00DF1530">
        <w:rPr>
          <w:lang w:val="ru-RU"/>
        </w:rPr>
        <w:t xml:space="preserve">и </w:t>
      </w:r>
      <w:r w:rsidR="00834072" w:rsidRPr="00DF1530">
        <w:rPr>
          <w:lang w:val="ru-RU"/>
        </w:rPr>
        <w:t>предпринимательск</w:t>
      </w:r>
      <w:r w:rsidRPr="00DF1530">
        <w:rPr>
          <w:lang w:val="ru-RU"/>
        </w:rPr>
        <w:t>ой деятельности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150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F3F5F" w:rsidRPr="00DF1530">
        <w:rPr>
          <w:lang w:val="ru-RU"/>
        </w:rPr>
        <w:t>Нижеследующие</w:t>
      </w:r>
      <w:r w:rsidR="008C7A93" w:rsidRPr="00DF1530">
        <w:rPr>
          <w:lang w:val="ru-RU"/>
        </w:rPr>
        <w:t xml:space="preserve"> </w:t>
      </w:r>
      <w:r w:rsidR="004F3F5F" w:rsidRPr="00DF1530">
        <w:rPr>
          <w:lang w:val="ru-RU"/>
        </w:rPr>
        <w:t xml:space="preserve">основные </w:t>
      </w:r>
      <w:r w:rsidR="005E53F2" w:rsidRPr="00DF1530">
        <w:rPr>
          <w:lang w:val="ru-RU"/>
        </w:rPr>
        <w:t>рекомендации</w:t>
      </w:r>
      <w:r w:rsidR="008C7A93" w:rsidRPr="00DF1530">
        <w:rPr>
          <w:lang w:val="ru-RU"/>
        </w:rPr>
        <w:t xml:space="preserve"> </w:t>
      </w:r>
      <w:r w:rsidR="004F3F5F" w:rsidRPr="00DF1530">
        <w:rPr>
          <w:lang w:val="ru-RU"/>
        </w:rPr>
        <w:t xml:space="preserve">вытекают из приведенного выше анализа для улучшения показателей </w:t>
      </w:r>
      <w:r w:rsidR="00B81C0D" w:rsidRPr="00DF1530">
        <w:rPr>
          <w:lang w:val="ru-RU"/>
        </w:rPr>
        <w:t xml:space="preserve">по </w:t>
      </w:r>
      <w:r w:rsidR="00834072" w:rsidRPr="00DF1530">
        <w:rPr>
          <w:lang w:val="ru-RU"/>
        </w:rPr>
        <w:t>МСП</w:t>
      </w:r>
      <w:r w:rsidR="008C7A93" w:rsidRPr="00DF1530">
        <w:rPr>
          <w:lang w:val="ru-RU"/>
        </w:rPr>
        <w:t xml:space="preserve"> </w:t>
      </w:r>
      <w:r w:rsidR="004F3F5F" w:rsidRPr="00DF1530">
        <w:rPr>
          <w:lang w:val="ru-RU"/>
        </w:rPr>
        <w:t xml:space="preserve">и </w:t>
      </w:r>
      <w:r w:rsidR="00834072" w:rsidRPr="00DF1530">
        <w:rPr>
          <w:lang w:val="ru-RU"/>
        </w:rPr>
        <w:t>предпринимательск</w:t>
      </w:r>
      <w:r w:rsidR="004F3F5F" w:rsidRPr="00DF1530">
        <w:rPr>
          <w:lang w:val="ru-RU"/>
        </w:rPr>
        <w:t>ой</w:t>
      </w:r>
      <w:r w:rsidR="00834072" w:rsidRPr="00DF1530">
        <w:rPr>
          <w:lang w:val="ru-RU"/>
        </w:rPr>
        <w:t xml:space="preserve"> деятельност</w:t>
      </w:r>
      <w:r w:rsidR="004F3F5F" w:rsidRPr="00DF1530">
        <w:rPr>
          <w:lang w:val="ru-RU"/>
        </w:rPr>
        <w:t>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p>
    <w:p w:rsidR="008C7A93" w:rsidRPr="00DF1530" w:rsidRDefault="004F3F5F" w:rsidP="008C7A93">
      <w:pPr>
        <w:pStyle w:val="a"/>
        <w:rPr>
          <w:lang w:val="ru-RU"/>
        </w:rPr>
      </w:pPr>
      <w:r w:rsidRPr="00DF1530">
        <w:rPr>
          <w:lang w:val="ru-RU"/>
        </w:rPr>
        <w:t xml:space="preserve">Увеличение количества предприятий и уровня занятости </w:t>
      </w:r>
      <w:r w:rsidR="002A62C0" w:rsidRPr="00DF1530">
        <w:rPr>
          <w:lang w:val="ru-RU"/>
        </w:rPr>
        <w:t>в секторе МСП</w:t>
      </w:r>
      <w:r w:rsidR="008C7A93" w:rsidRPr="00DF1530">
        <w:rPr>
          <w:lang w:val="ru-RU"/>
        </w:rPr>
        <w:t xml:space="preserve"> </w:t>
      </w:r>
      <w:r w:rsidRPr="00DF1530">
        <w:rPr>
          <w:lang w:val="ru-RU"/>
        </w:rPr>
        <w:t>посредством поддержки образования новых предприятий</w:t>
      </w:r>
      <w:r w:rsidR="008C7A93" w:rsidRPr="00DF1530">
        <w:rPr>
          <w:lang w:val="ru-RU"/>
        </w:rPr>
        <w:t xml:space="preserve">, </w:t>
      </w:r>
      <w:r w:rsidRPr="00DF1530">
        <w:rPr>
          <w:lang w:val="ru-RU"/>
        </w:rPr>
        <w:t xml:space="preserve">роста </w:t>
      </w:r>
      <w:r w:rsidR="00976BC2" w:rsidRPr="00DF1530">
        <w:rPr>
          <w:lang w:val="ru-RU"/>
        </w:rPr>
        <w:t>существующи</w:t>
      </w:r>
      <w:r w:rsidRPr="00DF1530">
        <w:rPr>
          <w:lang w:val="ru-RU"/>
        </w:rPr>
        <w:t>х</w:t>
      </w:r>
      <w:r w:rsidR="008C7A93" w:rsidRPr="00DF1530">
        <w:rPr>
          <w:lang w:val="ru-RU"/>
        </w:rPr>
        <w:t xml:space="preserve"> </w:t>
      </w:r>
      <w:r w:rsidR="00F736B7" w:rsidRPr="00DF1530">
        <w:rPr>
          <w:lang w:val="ru-RU"/>
        </w:rPr>
        <w:t>МСП</w:t>
      </w:r>
      <w:r w:rsidR="008C7A93" w:rsidRPr="00DF1530">
        <w:rPr>
          <w:lang w:val="ru-RU"/>
        </w:rPr>
        <w:t xml:space="preserve"> </w:t>
      </w:r>
      <w:r w:rsidRPr="00DF1530">
        <w:rPr>
          <w:lang w:val="ru-RU"/>
        </w:rPr>
        <w:t xml:space="preserve">и целевых программ для </w:t>
      </w:r>
      <w:r w:rsidR="00F84433" w:rsidRPr="00DF1530">
        <w:rPr>
          <w:lang w:val="ru-RU"/>
        </w:rPr>
        <w:t>ориентированных</w:t>
      </w:r>
      <w:r w:rsidRPr="00DF1530">
        <w:rPr>
          <w:lang w:val="ru-RU"/>
        </w:rPr>
        <w:t xml:space="preserve"> на рост </w:t>
      </w:r>
      <w:r w:rsidR="00347E3A" w:rsidRPr="00DF1530">
        <w:rPr>
          <w:lang w:val="ru-RU"/>
        </w:rPr>
        <w:t>предпринимател</w:t>
      </w:r>
      <w:r w:rsidRPr="00DF1530">
        <w:rPr>
          <w:lang w:val="ru-RU"/>
        </w:rPr>
        <w:t xml:space="preserve">ей и </w:t>
      </w:r>
      <w:r w:rsidR="00834072" w:rsidRPr="00DF1530">
        <w:rPr>
          <w:lang w:val="ru-RU"/>
        </w:rPr>
        <w:t>предприяти</w:t>
      </w:r>
      <w:r w:rsidRPr="00DF1530">
        <w:rPr>
          <w:lang w:val="ru-RU"/>
        </w:rPr>
        <w:t>й</w:t>
      </w:r>
      <w:r w:rsidR="008C7A93" w:rsidRPr="00DF1530">
        <w:rPr>
          <w:lang w:val="ru-RU"/>
        </w:rPr>
        <w:t xml:space="preserve">. </w:t>
      </w:r>
    </w:p>
    <w:p w:rsidR="008C7A93" w:rsidRPr="00DF1530" w:rsidRDefault="0089284E" w:rsidP="008C7A93">
      <w:pPr>
        <w:pStyle w:val="a"/>
        <w:rPr>
          <w:lang w:val="ru-RU"/>
        </w:rPr>
      </w:pPr>
      <w:r w:rsidRPr="00DF1530">
        <w:rPr>
          <w:lang w:val="ru-RU"/>
        </w:rPr>
        <w:t xml:space="preserve">Изменение негативного отношения к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посредством национальной информационной кампании и комплексного обучения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в рамках образовательной системы</w:t>
      </w:r>
      <w:r w:rsidR="008C7A93" w:rsidRPr="00DF1530">
        <w:rPr>
          <w:lang w:val="ru-RU"/>
        </w:rPr>
        <w:t>.</w:t>
      </w:r>
    </w:p>
    <w:p w:rsidR="008C7A93" w:rsidRPr="00DF1530" w:rsidRDefault="0089284E" w:rsidP="008C7A93">
      <w:pPr>
        <w:pStyle w:val="a"/>
        <w:rPr>
          <w:lang w:val="ru-RU"/>
        </w:rPr>
      </w:pPr>
      <w:r w:rsidRPr="00DF1530">
        <w:rPr>
          <w:lang w:val="ru-RU"/>
        </w:rPr>
        <w:t xml:space="preserve">Ускорение перевода </w:t>
      </w:r>
      <w:r w:rsidR="00347E3A" w:rsidRPr="00DF1530">
        <w:rPr>
          <w:lang w:val="ru-RU"/>
        </w:rPr>
        <w:t>предпринимательск</w:t>
      </w:r>
      <w:r w:rsidRPr="00DF1530">
        <w:rPr>
          <w:lang w:val="ru-RU"/>
        </w:rPr>
        <w:t>ой</w:t>
      </w:r>
      <w:r w:rsidR="00347E3A"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из неофициальной в официальную экономику путем устранения лишних барьеров для официальной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в налоговой системе и системе регулирования и разработки комплексной программы </w:t>
      </w:r>
      <w:r w:rsidR="00467AA9" w:rsidRPr="00DF1530">
        <w:rPr>
          <w:lang w:val="ru-RU"/>
        </w:rPr>
        <w:t xml:space="preserve">вытеснения </w:t>
      </w:r>
      <w:r w:rsidRPr="00DF1530">
        <w:rPr>
          <w:lang w:val="ru-RU"/>
        </w:rPr>
        <w:t>неофициальной предпринимательской деятельност</w:t>
      </w:r>
      <w:r w:rsidR="00467AA9" w:rsidRPr="00DF1530">
        <w:rPr>
          <w:lang w:val="ru-RU"/>
        </w:rPr>
        <w:t>и</w:t>
      </w:r>
      <w:r w:rsidRPr="00DF1530">
        <w:rPr>
          <w:lang w:val="ru-RU"/>
        </w:rPr>
        <w:t xml:space="preserve">, </w:t>
      </w:r>
      <w:r w:rsidR="005C23EE" w:rsidRPr="00DF1530">
        <w:rPr>
          <w:lang w:val="ru-RU"/>
        </w:rPr>
        <w:t xml:space="preserve">в которой стимулы для легализации деятельности сочетаются со штрафами за продолжение деятельности </w:t>
      </w:r>
      <w:r w:rsidR="00C679F9" w:rsidRPr="00DF1530">
        <w:rPr>
          <w:lang w:val="ru-RU"/>
        </w:rPr>
        <w:t xml:space="preserve">в </w:t>
      </w:r>
      <w:r w:rsidR="002D4AC0" w:rsidRPr="00DF1530">
        <w:rPr>
          <w:lang w:val="ru-RU"/>
        </w:rPr>
        <w:t>неофициальном</w:t>
      </w:r>
      <w:r w:rsidR="00C679F9" w:rsidRPr="00DF1530">
        <w:rPr>
          <w:lang w:val="ru-RU"/>
        </w:rPr>
        <w:t xml:space="preserve"> секторе</w:t>
      </w:r>
      <w:r w:rsidR="008C7A93" w:rsidRPr="00DF1530">
        <w:rPr>
          <w:lang w:val="ru-RU"/>
        </w:rPr>
        <w:t>.</w:t>
      </w:r>
    </w:p>
    <w:p w:rsidR="008C7A93" w:rsidRPr="00DF1530" w:rsidRDefault="00467AA9" w:rsidP="008C7A93">
      <w:pPr>
        <w:pStyle w:val="a"/>
        <w:rPr>
          <w:lang w:val="ru-RU"/>
        </w:rPr>
      </w:pPr>
      <w:r w:rsidRPr="00DF1530">
        <w:rPr>
          <w:lang w:val="ru-RU"/>
        </w:rPr>
        <w:t xml:space="preserve">Повышение уровня </w:t>
      </w:r>
      <w:r w:rsidR="00D3769A" w:rsidRPr="00DF1530">
        <w:rPr>
          <w:lang w:val="ru-RU"/>
        </w:rPr>
        <w:t>инноваци</w:t>
      </w:r>
      <w:r w:rsidRPr="00DF1530">
        <w:rPr>
          <w:lang w:val="ru-RU"/>
        </w:rPr>
        <w:t>й в МСП</w:t>
      </w:r>
      <w:r w:rsidR="008C7A93" w:rsidRPr="00DF1530">
        <w:rPr>
          <w:lang w:val="ru-RU"/>
        </w:rPr>
        <w:t xml:space="preserve"> </w:t>
      </w:r>
      <w:r w:rsidRPr="00DF1530">
        <w:rPr>
          <w:lang w:val="ru-RU"/>
        </w:rPr>
        <w:t>посредством соответствующего стимулирования</w:t>
      </w:r>
      <w:r w:rsidR="008C7A93" w:rsidRPr="00DF1530">
        <w:rPr>
          <w:lang w:val="ru-RU"/>
        </w:rPr>
        <w:t xml:space="preserve">, </w:t>
      </w:r>
      <w:r w:rsidRPr="00DF1530">
        <w:rPr>
          <w:lang w:val="ru-RU"/>
        </w:rPr>
        <w:t>консультирования и обучения</w:t>
      </w:r>
      <w:r w:rsidR="008C7A93" w:rsidRPr="00DF1530">
        <w:rPr>
          <w:lang w:val="ru-RU"/>
        </w:rPr>
        <w:t xml:space="preserve">, </w:t>
      </w:r>
      <w:r w:rsidRPr="00DF1530">
        <w:rPr>
          <w:lang w:val="ru-RU"/>
        </w:rPr>
        <w:t xml:space="preserve">а также совершенствование национальной и местной системы </w:t>
      </w:r>
      <w:r w:rsidR="00D3769A" w:rsidRPr="00DF1530">
        <w:rPr>
          <w:lang w:val="ru-RU"/>
        </w:rPr>
        <w:t>инноваци</w:t>
      </w:r>
      <w:r w:rsidRPr="00DF1530">
        <w:rPr>
          <w:lang w:val="ru-RU"/>
        </w:rPr>
        <w:t>й</w:t>
      </w:r>
      <w:r w:rsidR="008C7A93" w:rsidRPr="00DF1530">
        <w:rPr>
          <w:lang w:val="ru-RU"/>
        </w:rPr>
        <w:t>.</w:t>
      </w:r>
    </w:p>
    <w:p w:rsidR="008C7A93" w:rsidRPr="00DF1530" w:rsidRDefault="00467AA9" w:rsidP="008C7A93">
      <w:pPr>
        <w:pStyle w:val="a"/>
        <w:rPr>
          <w:lang w:val="ru-RU"/>
        </w:rPr>
      </w:pPr>
      <w:r w:rsidRPr="00DF1530">
        <w:rPr>
          <w:lang w:val="ru-RU"/>
        </w:rPr>
        <w:t xml:space="preserve">Дальнейшая гармонизация </w:t>
      </w:r>
      <w:r w:rsidR="00795AE6" w:rsidRPr="00DF1530">
        <w:rPr>
          <w:lang w:val="ru-RU"/>
        </w:rPr>
        <w:t>определени</w:t>
      </w:r>
      <w:r w:rsidRPr="00DF1530">
        <w:rPr>
          <w:lang w:val="ru-RU"/>
        </w:rPr>
        <w:t>й</w:t>
      </w:r>
      <w:r w:rsidR="008C7A93" w:rsidRPr="00DF1530">
        <w:rPr>
          <w:lang w:val="ru-RU"/>
        </w:rPr>
        <w:t xml:space="preserve"> </w:t>
      </w:r>
      <w:r w:rsidRPr="00DF1530">
        <w:rPr>
          <w:lang w:val="ru-RU"/>
        </w:rPr>
        <w:t xml:space="preserve">МСП и статистических методов с общей практикой, принятой на международном уровне, и </w:t>
      </w:r>
      <w:r w:rsidR="00B81C0D" w:rsidRPr="00DF1530">
        <w:rPr>
          <w:lang w:val="ru-RU"/>
        </w:rPr>
        <w:t xml:space="preserve">пропаганда </w:t>
      </w:r>
      <w:r w:rsidRPr="00DF1530">
        <w:rPr>
          <w:lang w:val="ru-RU"/>
        </w:rPr>
        <w:t>их использовани</w:t>
      </w:r>
      <w:r w:rsidR="00B81C0D" w:rsidRPr="00DF1530">
        <w:rPr>
          <w:lang w:val="ru-RU"/>
        </w:rPr>
        <w:t>я</w:t>
      </w:r>
      <w:r w:rsidRPr="00DF1530">
        <w:rPr>
          <w:lang w:val="ru-RU"/>
        </w:rPr>
        <w:t xml:space="preserve"> для оценки политики</w:t>
      </w:r>
      <w:r w:rsidR="008C7A93" w:rsidRPr="00DF1530">
        <w:rPr>
          <w:lang w:val="ru-RU"/>
        </w:rPr>
        <w:t>.</w:t>
      </w:r>
    </w:p>
    <w:p w:rsidR="008C7A93" w:rsidRPr="00DF1530" w:rsidRDefault="008C7A93" w:rsidP="008C7A93">
      <w:pPr>
        <w:pStyle w:val="21"/>
        <w:rPr>
          <w:lang w:val="ru-RU"/>
        </w:rPr>
      </w:pPr>
      <w:bookmarkStart w:id="36" w:name="_Toc369561404"/>
      <w:bookmarkStart w:id="37" w:name="_Toc369603437"/>
      <w:bookmarkStart w:id="38" w:name="_Toc369603708"/>
      <w:bookmarkStart w:id="39" w:name="_Toc369604123"/>
      <w:bookmarkStart w:id="40" w:name="_Toc369607793"/>
      <w:bookmarkStart w:id="41" w:name="_Toc369607988"/>
      <w:bookmarkStart w:id="42" w:name="_Toc369609368"/>
      <w:bookmarkStart w:id="43" w:name="_Toc369609961"/>
      <w:bookmarkStart w:id="44" w:name="_Toc369614574"/>
      <w:bookmarkStart w:id="45" w:name="_Toc369614748"/>
      <w:bookmarkStart w:id="46" w:name="_Toc369614928"/>
      <w:bookmarkStart w:id="47" w:name="_Toc369616480"/>
      <w:bookmarkStart w:id="48" w:name="_Toc369682531"/>
      <w:bookmarkStart w:id="49" w:name="_Toc369709744"/>
      <w:bookmarkStart w:id="50" w:name="_Toc411535417"/>
      <w:r w:rsidRPr="00DF1530">
        <w:rPr>
          <w:lang w:val="ru-RU"/>
        </w:rPr>
        <w:lastRenderedPageBreak/>
        <w:t xml:space="preserve">1.2. </w:t>
      </w:r>
      <w:r w:rsidRPr="00DF1530">
        <w:rPr>
          <w:lang w:val="ru-RU"/>
        </w:rPr>
        <w:tab/>
      </w:r>
      <w:r w:rsidR="00201575" w:rsidRPr="00DF1530">
        <w:rPr>
          <w:lang w:val="ru-RU"/>
        </w:rPr>
        <w:t>Условия предпринимательской деятельности</w:t>
      </w:r>
      <w:r w:rsidRPr="00DF1530">
        <w:rPr>
          <w:lang w:val="ru-RU"/>
        </w:rPr>
        <w:t xml:space="preserve"> </w:t>
      </w:r>
      <w:r w:rsidR="00201575" w:rsidRPr="00DF1530">
        <w:rPr>
          <w:lang w:val="ru-RU"/>
        </w:rPr>
        <w:t xml:space="preserve">и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8F2340" w:rsidRPr="00DF1530">
        <w:rPr>
          <w:lang w:val="ru-RU"/>
        </w:rPr>
        <w:t>системные условия</w:t>
      </w:r>
      <w:r w:rsidR="00201575" w:rsidRPr="00DF1530">
        <w:rPr>
          <w:lang w:val="ru-RU"/>
        </w:rPr>
        <w:t xml:space="preserve"> </w:t>
      </w:r>
    </w:p>
    <w:p w:rsidR="008C7A93" w:rsidRPr="00DF1530" w:rsidRDefault="00201575" w:rsidP="008C7A93">
      <w:pPr>
        <w:pStyle w:val="31"/>
        <w:rPr>
          <w:lang w:val="ru-RU"/>
        </w:rPr>
      </w:pPr>
      <w:r w:rsidRPr="00DF1530">
        <w:rPr>
          <w:lang w:val="ru-RU"/>
        </w:rPr>
        <w:t>Меняющаяся макроэкономическая ситуация и зависимость от экспорта ресурсов</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C7A93" w:rsidRPr="00DF1530">
        <w:rPr>
          <w:lang w:val="ru-RU"/>
        </w:rPr>
        <w:t xml:space="preserve"> </w:t>
      </w:r>
      <w:r w:rsidR="00072701" w:rsidRPr="00DF1530">
        <w:rPr>
          <w:lang w:val="ru-RU"/>
        </w:rPr>
        <w:t xml:space="preserve">За как минимум десятилетний период, с середины </w:t>
      </w:r>
      <w:r w:rsidR="008C7A93" w:rsidRPr="00DF1530">
        <w:rPr>
          <w:lang w:val="ru-RU"/>
        </w:rPr>
        <w:t>1990</w:t>
      </w:r>
      <w:r w:rsidR="00072701" w:rsidRPr="00DF1530">
        <w:rPr>
          <w:lang w:val="ru-RU"/>
        </w:rPr>
        <w:t>-х</w:t>
      </w:r>
      <w:r w:rsidR="008C7A93" w:rsidRPr="00DF1530">
        <w:rPr>
          <w:lang w:val="ru-RU"/>
        </w:rPr>
        <w:t xml:space="preserve"> </w:t>
      </w:r>
      <w:r w:rsidR="00072701" w:rsidRPr="00DF1530">
        <w:rPr>
          <w:lang w:val="ru-RU"/>
        </w:rPr>
        <w:t xml:space="preserve">до середины </w:t>
      </w:r>
      <w:r w:rsidR="008C7A93" w:rsidRPr="00DF1530">
        <w:rPr>
          <w:lang w:val="ru-RU"/>
        </w:rPr>
        <w:t>2000</w:t>
      </w:r>
      <w:r w:rsidR="00072701" w:rsidRPr="00DF1530">
        <w:rPr>
          <w:lang w:val="ru-RU"/>
        </w:rPr>
        <w:t>-</w:t>
      </w:r>
      <w:r w:rsidR="006654D8" w:rsidRPr="00DF1530">
        <w:rPr>
          <w:lang w:val="ru-RU"/>
        </w:rPr>
        <w:t>х</w:t>
      </w:r>
      <w:r w:rsidR="00072701" w:rsidRPr="00DF1530">
        <w:rPr>
          <w:lang w:val="ru-RU"/>
        </w:rPr>
        <w:t xml:space="preserve"> годов</w:t>
      </w:r>
      <w:r w:rsidR="008C7A93" w:rsidRPr="00DF1530">
        <w:rPr>
          <w:lang w:val="ru-RU"/>
        </w:rPr>
        <w:t xml:space="preserve">, </w:t>
      </w:r>
      <w:r w:rsidR="00072701" w:rsidRPr="00DF1530">
        <w:rPr>
          <w:lang w:val="ru-RU"/>
        </w:rPr>
        <w:t xml:space="preserve">удалось добиться </w:t>
      </w:r>
      <w:r w:rsidR="009B5373" w:rsidRPr="00DF1530">
        <w:rPr>
          <w:lang w:val="ru-RU"/>
        </w:rPr>
        <w:t>устойчивого</w:t>
      </w:r>
      <w:r w:rsidR="00072701" w:rsidRPr="00DF1530">
        <w:rPr>
          <w:lang w:val="ru-RU"/>
        </w:rPr>
        <w:t xml:space="preserve"> </w:t>
      </w:r>
      <w:r w:rsidR="00CD71D1" w:rsidRPr="00DF1530">
        <w:rPr>
          <w:lang w:val="ru-RU"/>
        </w:rPr>
        <w:t xml:space="preserve">непрерывного </w:t>
      </w:r>
      <w:r w:rsidR="00072701" w:rsidRPr="00DF1530">
        <w:rPr>
          <w:lang w:val="ru-RU"/>
        </w:rPr>
        <w:t xml:space="preserve">роста российской экономики, </w:t>
      </w:r>
      <w:r w:rsidR="006654D8" w:rsidRPr="00DF1530">
        <w:rPr>
          <w:lang w:val="ru-RU"/>
        </w:rPr>
        <w:t xml:space="preserve">но в 2008-09 гг. мировой финансовый кризис принес рецессию, </w:t>
      </w:r>
      <w:r w:rsidR="00CD71D1" w:rsidRPr="00DF1530">
        <w:rPr>
          <w:lang w:val="ru-RU"/>
        </w:rPr>
        <w:t xml:space="preserve">заставившую </w:t>
      </w:r>
      <w:r w:rsidR="00F736B7" w:rsidRPr="00DF1530">
        <w:rPr>
          <w:lang w:val="ru-RU"/>
        </w:rPr>
        <w:t>МСП</w:t>
      </w:r>
      <w:r w:rsidR="008C7A93" w:rsidRPr="00DF1530">
        <w:rPr>
          <w:lang w:val="ru-RU"/>
        </w:rPr>
        <w:t xml:space="preserve"> </w:t>
      </w:r>
      <w:r w:rsidR="00CD71D1" w:rsidRPr="00DF1530">
        <w:rPr>
          <w:lang w:val="ru-RU"/>
        </w:rPr>
        <w:t xml:space="preserve">решать </w:t>
      </w:r>
      <w:r w:rsidR="006654D8" w:rsidRPr="00DF1530">
        <w:rPr>
          <w:lang w:val="ru-RU"/>
        </w:rPr>
        <w:t>вопросы падения спроса на внутреннем рынке и сокращения ликвидности</w:t>
      </w:r>
      <w:r w:rsidR="008C7A93" w:rsidRPr="00DF1530">
        <w:rPr>
          <w:lang w:val="ru-RU"/>
        </w:rPr>
        <w:t xml:space="preserve">. </w:t>
      </w:r>
      <w:r w:rsidR="00CD71D1" w:rsidRPr="00DF1530">
        <w:rPr>
          <w:lang w:val="ru-RU"/>
        </w:rPr>
        <w:t>Правительство</w:t>
      </w:r>
      <w:r w:rsidR="008C7A93" w:rsidRPr="00DF1530">
        <w:rPr>
          <w:lang w:val="ru-RU"/>
        </w:rPr>
        <w:t xml:space="preserve"> </w:t>
      </w:r>
      <w:r w:rsidR="00CD71D1" w:rsidRPr="00DF1530">
        <w:rPr>
          <w:lang w:val="ru-RU"/>
        </w:rPr>
        <w:t>сравнительно быстро приняло важные меры для направления ликвидности</w:t>
      </w:r>
      <w:r w:rsidR="008C7A93" w:rsidRPr="00DF1530">
        <w:rPr>
          <w:lang w:val="ru-RU"/>
        </w:rPr>
        <w:t xml:space="preserve"> </w:t>
      </w:r>
      <w:r w:rsidR="00CD71D1" w:rsidRPr="00DF1530">
        <w:rPr>
          <w:lang w:val="ru-RU"/>
        </w:rPr>
        <w:t>в</w:t>
      </w:r>
      <w:r w:rsidR="008C7A93" w:rsidRPr="00DF1530">
        <w:rPr>
          <w:lang w:val="ru-RU"/>
        </w:rPr>
        <w:t xml:space="preserve"> </w:t>
      </w:r>
      <w:r w:rsidR="00F736B7" w:rsidRPr="00DF1530">
        <w:rPr>
          <w:lang w:val="ru-RU"/>
        </w:rPr>
        <w:t>МСП</w:t>
      </w:r>
      <w:r w:rsidR="00CD71D1" w:rsidRPr="00DF1530">
        <w:rPr>
          <w:lang w:val="ru-RU"/>
        </w:rPr>
        <w:t>,</w:t>
      </w:r>
      <w:r w:rsidR="008C7A93" w:rsidRPr="00DF1530">
        <w:rPr>
          <w:lang w:val="ru-RU"/>
        </w:rPr>
        <w:t xml:space="preserve"> </w:t>
      </w:r>
      <w:r w:rsidR="00CD71D1" w:rsidRPr="00DF1530">
        <w:rPr>
          <w:lang w:val="ru-RU"/>
        </w:rPr>
        <w:t xml:space="preserve">а </w:t>
      </w:r>
      <w:r w:rsidR="00592D7B" w:rsidRPr="00DF1530">
        <w:rPr>
          <w:lang w:val="ru-RU"/>
        </w:rPr>
        <w:t>также</w:t>
      </w:r>
      <w:r w:rsidR="008C7A93" w:rsidRPr="00DF1530">
        <w:rPr>
          <w:lang w:val="ru-RU"/>
        </w:rPr>
        <w:t xml:space="preserve"> </w:t>
      </w:r>
      <w:r w:rsidR="00CD71D1" w:rsidRPr="00DF1530">
        <w:rPr>
          <w:lang w:val="ru-RU"/>
        </w:rPr>
        <w:t>возобновления роста национальной экономики</w:t>
      </w:r>
      <w:r w:rsidR="008C7A93" w:rsidRPr="00DF1530">
        <w:rPr>
          <w:lang w:val="ru-RU"/>
        </w:rPr>
        <w:t xml:space="preserve">, </w:t>
      </w:r>
      <w:r w:rsidR="00CD71D1" w:rsidRPr="00DF1530">
        <w:rPr>
          <w:lang w:val="ru-RU"/>
        </w:rPr>
        <w:t>хотя и на докризисных уровнях</w:t>
      </w:r>
      <w:r w:rsidR="008C7A93" w:rsidRPr="00DF1530">
        <w:rPr>
          <w:lang w:val="ru-RU"/>
        </w:rPr>
        <w:t xml:space="preserve">, </w:t>
      </w:r>
      <w:r w:rsidR="00CD71D1" w:rsidRPr="00DF1530">
        <w:rPr>
          <w:lang w:val="ru-RU"/>
        </w:rPr>
        <w:t>добившись в то же время стабильности обменных курсов</w:t>
      </w:r>
      <w:r w:rsidR="008C7A93" w:rsidRPr="00DF1530">
        <w:rPr>
          <w:lang w:val="ru-RU"/>
        </w:rPr>
        <w:t xml:space="preserve">, </w:t>
      </w:r>
      <w:r w:rsidR="00CD71D1" w:rsidRPr="00DF1530">
        <w:rPr>
          <w:lang w:val="ru-RU"/>
        </w:rPr>
        <w:t>инфляции</w:t>
      </w:r>
      <w:r w:rsidR="008C7A93" w:rsidRPr="00DF1530">
        <w:rPr>
          <w:lang w:val="ru-RU"/>
        </w:rPr>
        <w:t xml:space="preserve"> </w:t>
      </w:r>
      <w:r w:rsidR="00CD71D1" w:rsidRPr="00DF1530">
        <w:rPr>
          <w:lang w:val="ru-RU"/>
        </w:rPr>
        <w:t>и процентных ставок</w:t>
      </w:r>
      <w:r w:rsidR="008C7A93" w:rsidRPr="00DF1530">
        <w:rPr>
          <w:lang w:val="ru-RU"/>
        </w:rPr>
        <w:t xml:space="preserve">. </w:t>
      </w:r>
      <w:r w:rsidR="00CD71D1" w:rsidRPr="00DF1530">
        <w:rPr>
          <w:lang w:val="ru-RU"/>
        </w:rPr>
        <w:t xml:space="preserve">Таким образом, в последние годы в стране были </w:t>
      </w:r>
      <w:r w:rsidR="00834072" w:rsidRPr="00DF1530">
        <w:rPr>
          <w:lang w:val="ru-RU"/>
        </w:rPr>
        <w:t>сравнительно</w:t>
      </w:r>
      <w:r w:rsidR="008C7A93" w:rsidRPr="00DF1530">
        <w:rPr>
          <w:lang w:val="ru-RU"/>
        </w:rPr>
        <w:t xml:space="preserve"> </w:t>
      </w:r>
      <w:r w:rsidR="00CD71D1" w:rsidRPr="00DF1530">
        <w:rPr>
          <w:lang w:val="ru-RU"/>
        </w:rPr>
        <w:t xml:space="preserve">благоприятные макроэкономические условия для </w:t>
      </w:r>
      <w:r w:rsidR="00834072" w:rsidRPr="00DF1530">
        <w:rPr>
          <w:lang w:val="ru-RU"/>
        </w:rPr>
        <w:t>МСП</w:t>
      </w:r>
      <w:r w:rsidR="008C7A93" w:rsidRPr="00DF1530">
        <w:rPr>
          <w:lang w:val="ru-RU"/>
        </w:rPr>
        <w:t xml:space="preserve"> </w:t>
      </w:r>
      <w:r w:rsidR="00CD71D1" w:rsidRPr="00DF1530">
        <w:rPr>
          <w:lang w:val="ru-RU"/>
        </w:rPr>
        <w:t xml:space="preserve">и </w:t>
      </w:r>
      <w:r w:rsidR="00834072" w:rsidRPr="00DF1530">
        <w:rPr>
          <w:lang w:val="ru-RU"/>
        </w:rPr>
        <w:t>предпринимательск</w:t>
      </w:r>
      <w:r w:rsidR="00CD71D1" w:rsidRPr="00DF1530">
        <w:rPr>
          <w:lang w:val="ru-RU"/>
        </w:rPr>
        <w:t>ой</w:t>
      </w:r>
      <w:r w:rsidR="00834072" w:rsidRPr="00DF1530">
        <w:rPr>
          <w:lang w:val="ru-RU"/>
        </w:rPr>
        <w:t xml:space="preserve"> деятельност</w:t>
      </w:r>
      <w:r w:rsidR="00CD71D1" w:rsidRPr="00DF1530">
        <w:rPr>
          <w:lang w:val="ru-RU"/>
        </w:rPr>
        <w:t>и</w:t>
      </w:r>
      <w:r w:rsidR="008C7A93" w:rsidRPr="00DF1530">
        <w:rPr>
          <w:lang w:val="ru-RU"/>
        </w:rPr>
        <w:t xml:space="preserve">. </w:t>
      </w:r>
      <w:r w:rsidR="007C35FB" w:rsidRPr="00DF1530">
        <w:rPr>
          <w:lang w:val="ru-RU"/>
        </w:rPr>
        <w:t xml:space="preserve">Недавно </w:t>
      </w:r>
      <w:r w:rsidR="00CD71D1" w:rsidRPr="00DF1530">
        <w:rPr>
          <w:lang w:val="ru-RU"/>
        </w:rPr>
        <w:t>появились новые проблемы в связи с геополитической напряженностью</w:t>
      </w:r>
      <w:r w:rsidR="008C7A93" w:rsidRPr="00DF1530">
        <w:rPr>
          <w:lang w:val="ru-RU"/>
        </w:rPr>
        <w:t xml:space="preserve">, </w:t>
      </w:r>
      <w:r w:rsidR="00CD71D1" w:rsidRPr="00DF1530">
        <w:rPr>
          <w:lang w:val="ru-RU"/>
        </w:rPr>
        <w:t>ограничениями на импорт и экспорт,</w:t>
      </w:r>
      <w:r w:rsidR="008C7A93" w:rsidRPr="00DF1530">
        <w:rPr>
          <w:lang w:val="ru-RU"/>
        </w:rPr>
        <w:t xml:space="preserve"> </w:t>
      </w:r>
      <w:r w:rsidR="00CD71D1" w:rsidRPr="00DF1530">
        <w:rPr>
          <w:lang w:val="ru-RU"/>
        </w:rPr>
        <w:t>влияющими на некоторые отраслевые и географические рынки</w:t>
      </w:r>
      <w:r w:rsidR="008C7A93" w:rsidRPr="00DF1530">
        <w:rPr>
          <w:lang w:val="ru-RU"/>
        </w:rPr>
        <w:t xml:space="preserve">, </w:t>
      </w:r>
      <w:r w:rsidR="008E5727" w:rsidRPr="00DF1530">
        <w:rPr>
          <w:lang w:val="ru-RU"/>
        </w:rPr>
        <w:t>ростом инфляции и прогнозируемым отрицательным экономическим ростом в ближайшей перспективе</w:t>
      </w:r>
      <w:r w:rsidR="008C7A93" w:rsidRPr="00DF1530">
        <w:rPr>
          <w:lang w:val="ru-RU"/>
        </w:rPr>
        <w:t xml:space="preserve">. </w:t>
      </w:r>
      <w:r w:rsidR="007C35FB" w:rsidRPr="00DF1530">
        <w:rPr>
          <w:lang w:val="ru-RU"/>
        </w:rPr>
        <w:t xml:space="preserve">Эти краткосрочные трудности не должны препятствовать реализации более долгосрочных процессов структурной перестройки, направленных на увеличение объема и конкурентоспособности сектора </w:t>
      </w:r>
      <w:r w:rsidR="00834072" w:rsidRPr="00DF1530">
        <w:rPr>
          <w:lang w:val="ru-RU"/>
        </w:rPr>
        <w:t>МСП</w:t>
      </w:r>
      <w:r w:rsidR="008C7A93" w:rsidRPr="00DF1530">
        <w:rPr>
          <w:lang w:val="ru-RU"/>
        </w:rPr>
        <w:t xml:space="preserve">. </w:t>
      </w:r>
      <w:r w:rsidR="007C35FB" w:rsidRPr="00DF1530">
        <w:rPr>
          <w:lang w:val="ru-RU"/>
        </w:rPr>
        <w:t>В действительности</w:t>
      </w:r>
      <w:r w:rsidR="008C7A93" w:rsidRPr="00DF1530">
        <w:rPr>
          <w:lang w:val="ru-RU"/>
        </w:rPr>
        <w:t xml:space="preserve">, </w:t>
      </w:r>
      <w:r w:rsidR="005600E1" w:rsidRPr="00DF1530">
        <w:rPr>
          <w:lang w:val="ru-RU"/>
        </w:rPr>
        <w:t xml:space="preserve">необходима политика, нацеленная на рост </w:t>
      </w:r>
      <w:r w:rsidR="00834072" w:rsidRPr="00DF1530">
        <w:rPr>
          <w:lang w:val="ru-RU"/>
        </w:rPr>
        <w:t>МСП</w:t>
      </w:r>
      <w:r w:rsidR="008C7A93" w:rsidRPr="00DF1530">
        <w:rPr>
          <w:lang w:val="ru-RU"/>
        </w:rPr>
        <w:t xml:space="preserve"> </w:t>
      </w:r>
      <w:r w:rsidR="005600E1" w:rsidRPr="00DF1530">
        <w:rPr>
          <w:lang w:val="ru-RU"/>
        </w:rPr>
        <w:t xml:space="preserve">и </w:t>
      </w:r>
      <w:r w:rsidR="00834072" w:rsidRPr="00DF1530">
        <w:rPr>
          <w:lang w:val="ru-RU"/>
        </w:rPr>
        <w:t>предпринимательск</w:t>
      </w:r>
      <w:r w:rsidR="005600E1" w:rsidRPr="00DF1530">
        <w:rPr>
          <w:lang w:val="ru-RU"/>
        </w:rPr>
        <w:t>ой</w:t>
      </w:r>
      <w:r w:rsidR="00834072" w:rsidRPr="00DF1530">
        <w:rPr>
          <w:lang w:val="ru-RU"/>
        </w:rPr>
        <w:t xml:space="preserve"> деятельност</w:t>
      </w:r>
      <w:r w:rsidR="005600E1" w:rsidRPr="00DF1530">
        <w:rPr>
          <w:lang w:val="ru-RU"/>
        </w:rPr>
        <w:t>и,</w:t>
      </w:r>
      <w:r w:rsidR="008C7A93" w:rsidRPr="00DF1530">
        <w:rPr>
          <w:lang w:val="ru-RU"/>
        </w:rPr>
        <w:t xml:space="preserve"> </w:t>
      </w:r>
      <w:r w:rsidR="005600E1" w:rsidRPr="00DF1530">
        <w:rPr>
          <w:lang w:val="ru-RU"/>
        </w:rPr>
        <w:t xml:space="preserve">чтобы решить вопрос диверсификации </w:t>
      </w:r>
      <w:r w:rsidR="00976BC2" w:rsidRPr="00DF1530">
        <w:rPr>
          <w:lang w:val="ru-RU"/>
        </w:rPr>
        <w:t>российской экономики</w:t>
      </w:r>
      <w:r w:rsidR="008C7A93" w:rsidRPr="00DF1530">
        <w:rPr>
          <w:lang w:val="ru-RU"/>
        </w:rPr>
        <w:t xml:space="preserve"> </w:t>
      </w:r>
      <w:r w:rsidR="005600E1" w:rsidRPr="00DF1530">
        <w:rPr>
          <w:lang w:val="ru-RU"/>
        </w:rPr>
        <w:t xml:space="preserve">и устранения сильной </w:t>
      </w:r>
      <w:r w:rsidR="00201575" w:rsidRPr="00DF1530">
        <w:rPr>
          <w:lang w:val="ru-RU"/>
        </w:rPr>
        <w:t>зависимост</w:t>
      </w:r>
      <w:r w:rsidR="005600E1" w:rsidRPr="00DF1530">
        <w:rPr>
          <w:lang w:val="ru-RU"/>
        </w:rPr>
        <w:t>и</w:t>
      </w:r>
      <w:r w:rsidR="008C7A93" w:rsidRPr="00DF1530">
        <w:rPr>
          <w:lang w:val="ru-RU"/>
        </w:rPr>
        <w:t xml:space="preserve"> </w:t>
      </w:r>
      <w:r w:rsidR="005600E1" w:rsidRPr="00DF1530">
        <w:rPr>
          <w:lang w:val="ru-RU"/>
        </w:rPr>
        <w:t>от экспорта природных ресурсов путем развития деятельности в производстве и сфере услуг для достижения роста</w:t>
      </w:r>
      <w:r w:rsidR="008C7A93" w:rsidRPr="00DF1530">
        <w:rPr>
          <w:lang w:val="ru-RU"/>
        </w:rPr>
        <w:t xml:space="preserve">, </w:t>
      </w:r>
      <w:r w:rsidR="005600E1" w:rsidRPr="00DF1530">
        <w:rPr>
          <w:lang w:val="ru-RU"/>
        </w:rPr>
        <w:t xml:space="preserve">увеличения доходов и снижения подверженности </w:t>
      </w:r>
      <w:r w:rsidR="00834072" w:rsidRPr="00DF1530">
        <w:rPr>
          <w:lang w:val="ru-RU"/>
        </w:rPr>
        <w:t>экономик</w:t>
      </w:r>
      <w:r w:rsidR="005600E1" w:rsidRPr="00DF1530">
        <w:rPr>
          <w:lang w:val="ru-RU"/>
        </w:rPr>
        <w:t>и кризисам</w:t>
      </w:r>
      <w:r w:rsidR="008C7A93" w:rsidRPr="00DF1530">
        <w:rPr>
          <w:lang w:val="ru-RU"/>
        </w:rPr>
        <w:t xml:space="preserve">. </w:t>
      </w:r>
    </w:p>
    <w:p w:rsidR="008C7A93" w:rsidRPr="00DF1530" w:rsidRDefault="00421ABD" w:rsidP="008C7A93">
      <w:pPr>
        <w:pStyle w:val="31"/>
        <w:rPr>
          <w:lang w:val="ru-RU"/>
        </w:rPr>
      </w:pPr>
      <w:r w:rsidRPr="00DF1530">
        <w:rPr>
          <w:lang w:val="ru-RU"/>
        </w:rPr>
        <w:t>Постепенное открытие для международной торговли и конкуренции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Российская</w:t>
      </w:r>
      <w:r w:rsidR="005E53F2" w:rsidRPr="00DF1530">
        <w:rPr>
          <w:lang w:val="ru-RU"/>
        </w:rPr>
        <w:t xml:space="preserve"> Федерация</w:t>
      </w:r>
      <w:r w:rsidR="008C7A93" w:rsidRPr="00DF1530">
        <w:rPr>
          <w:lang w:val="ru-RU"/>
        </w:rPr>
        <w:t xml:space="preserve"> </w:t>
      </w:r>
      <w:r w:rsidR="00AC7B4B" w:rsidRPr="00DF1530">
        <w:rPr>
          <w:lang w:val="ru-RU"/>
        </w:rPr>
        <w:t>все в большей степени интегрируется в мировую экономику</w:t>
      </w:r>
      <w:r w:rsidR="008C7A93" w:rsidRPr="00DF1530">
        <w:rPr>
          <w:lang w:val="ru-RU"/>
        </w:rPr>
        <w:t xml:space="preserve">, </w:t>
      </w:r>
      <w:r w:rsidR="00470EC8" w:rsidRPr="00DF1530">
        <w:rPr>
          <w:lang w:val="ru-RU"/>
        </w:rPr>
        <w:t xml:space="preserve">но сохраняются серьезные барьеры для внешней торговли и инвестиций </w:t>
      </w:r>
      <w:r w:rsidR="008C7A93" w:rsidRPr="00DF1530">
        <w:rPr>
          <w:lang w:val="ru-RU"/>
        </w:rPr>
        <w:t>(</w:t>
      </w:r>
      <w:r w:rsidR="00592D7B" w:rsidRPr="00DF1530">
        <w:rPr>
          <w:lang w:val="ru-RU"/>
        </w:rPr>
        <w:t>Рисунок</w:t>
      </w:r>
      <w:r w:rsidR="008C7A93" w:rsidRPr="00DF1530">
        <w:rPr>
          <w:lang w:val="ru-RU"/>
        </w:rPr>
        <w:t xml:space="preserve"> 1.6). </w:t>
      </w:r>
      <w:r w:rsidR="00F736B7" w:rsidRPr="00DF1530">
        <w:rPr>
          <w:lang w:val="ru-RU"/>
        </w:rPr>
        <w:t>В частности</w:t>
      </w:r>
      <w:r w:rsidR="008C7A93" w:rsidRPr="00DF1530">
        <w:rPr>
          <w:lang w:val="ru-RU"/>
        </w:rPr>
        <w:t xml:space="preserve">, </w:t>
      </w:r>
      <w:r w:rsidR="00470EC8" w:rsidRPr="00DF1530">
        <w:rPr>
          <w:lang w:val="ru-RU"/>
        </w:rPr>
        <w:t xml:space="preserve">вступление во Всемирную торговую организацию </w:t>
      </w:r>
      <w:r w:rsidR="008C7A93" w:rsidRPr="00DF1530">
        <w:rPr>
          <w:lang w:val="ru-RU"/>
        </w:rPr>
        <w:t>(</w:t>
      </w:r>
      <w:r w:rsidR="00470EC8" w:rsidRPr="00DF1530">
        <w:rPr>
          <w:lang w:val="ru-RU"/>
        </w:rPr>
        <w:t>ВТО</w:t>
      </w:r>
      <w:r w:rsidR="008C7A93" w:rsidRPr="00DF1530">
        <w:rPr>
          <w:lang w:val="ru-RU"/>
        </w:rPr>
        <w:t xml:space="preserve">) </w:t>
      </w:r>
      <w:r w:rsidR="00F736B7" w:rsidRPr="00DF1530">
        <w:rPr>
          <w:lang w:val="ru-RU"/>
        </w:rPr>
        <w:t>в 2012 году</w:t>
      </w:r>
      <w:r w:rsidR="008C7A93" w:rsidRPr="00DF1530">
        <w:rPr>
          <w:lang w:val="ru-RU"/>
        </w:rPr>
        <w:t xml:space="preserve"> </w:t>
      </w:r>
      <w:r w:rsidR="00470EC8" w:rsidRPr="00DF1530">
        <w:rPr>
          <w:lang w:val="ru-RU"/>
        </w:rPr>
        <w:t>связано с программой постепенного снижения тарифных и нетарифных барьеров</w:t>
      </w:r>
      <w:r w:rsidR="008C7A93" w:rsidRPr="00DF1530">
        <w:rPr>
          <w:lang w:val="ru-RU"/>
        </w:rPr>
        <w:t xml:space="preserve">. </w:t>
      </w:r>
      <w:r w:rsidR="00795AE6" w:rsidRPr="00DF1530">
        <w:rPr>
          <w:lang w:val="ru-RU"/>
        </w:rPr>
        <w:t>Кроме того,</w:t>
      </w:r>
      <w:r w:rsidR="008C7A93" w:rsidRPr="00DF1530">
        <w:rPr>
          <w:lang w:val="ru-RU"/>
        </w:rPr>
        <w:t xml:space="preserve"> </w:t>
      </w:r>
      <w:r w:rsidR="00470EC8" w:rsidRPr="00DF1530">
        <w:rPr>
          <w:lang w:val="ru-RU"/>
        </w:rPr>
        <w:t xml:space="preserve">ведется подготовка к созданию Евразийского таможенного союза, </w:t>
      </w:r>
      <w:r w:rsidR="00331847" w:rsidRPr="00DF1530">
        <w:rPr>
          <w:lang w:val="ru-RU"/>
        </w:rPr>
        <w:t xml:space="preserve">что позволит сформировать </w:t>
      </w:r>
      <w:r w:rsidR="00470EC8" w:rsidRPr="00DF1530">
        <w:rPr>
          <w:lang w:val="ru-RU"/>
        </w:rPr>
        <w:t>крупный региональный внутренний рынок</w:t>
      </w:r>
      <w:r w:rsidR="008C7A93" w:rsidRPr="00DF1530">
        <w:rPr>
          <w:lang w:val="ru-RU"/>
        </w:rPr>
        <w:t xml:space="preserve">. </w:t>
      </w:r>
      <w:r w:rsidR="00470EC8" w:rsidRPr="00DF1530">
        <w:rPr>
          <w:lang w:val="ru-RU"/>
        </w:rPr>
        <w:t xml:space="preserve">Эти предстоящие изменения могут обеспечить важный стимул для </w:t>
      </w:r>
      <w:r w:rsidR="00F736B7" w:rsidRPr="00DF1530">
        <w:rPr>
          <w:lang w:val="ru-RU"/>
        </w:rPr>
        <w:t>МСП</w:t>
      </w:r>
      <w:r w:rsidR="008C7A93" w:rsidRPr="00DF1530">
        <w:rPr>
          <w:lang w:val="ru-RU"/>
        </w:rPr>
        <w:t xml:space="preserve"> </w:t>
      </w:r>
      <w:r w:rsidR="00470EC8" w:rsidRPr="00DF1530">
        <w:rPr>
          <w:lang w:val="ru-RU"/>
        </w:rPr>
        <w:t xml:space="preserve">и </w:t>
      </w:r>
      <w:r w:rsidR="00834072" w:rsidRPr="00DF1530">
        <w:rPr>
          <w:lang w:val="ru-RU"/>
        </w:rPr>
        <w:t>предпринимательск</w:t>
      </w:r>
      <w:r w:rsidR="00470EC8" w:rsidRPr="00DF1530">
        <w:rPr>
          <w:lang w:val="ru-RU"/>
        </w:rPr>
        <w:t>ой</w:t>
      </w:r>
      <w:r w:rsidR="00834072" w:rsidRPr="00DF1530">
        <w:rPr>
          <w:lang w:val="ru-RU"/>
        </w:rPr>
        <w:t xml:space="preserve"> деятельност</w:t>
      </w:r>
      <w:r w:rsidR="00470EC8" w:rsidRPr="00DF1530">
        <w:rPr>
          <w:lang w:val="ru-RU"/>
        </w:rPr>
        <w:t>и</w:t>
      </w:r>
      <w:r w:rsidR="008C7A93" w:rsidRPr="00DF1530">
        <w:rPr>
          <w:lang w:val="ru-RU"/>
        </w:rPr>
        <w:t xml:space="preserve"> </w:t>
      </w:r>
      <w:r w:rsidR="00331847" w:rsidRPr="00DF1530">
        <w:rPr>
          <w:lang w:val="ru-RU"/>
        </w:rPr>
        <w:t xml:space="preserve">благодаря </w:t>
      </w:r>
      <w:r w:rsidR="00470EC8" w:rsidRPr="00DF1530">
        <w:rPr>
          <w:lang w:val="ru-RU"/>
        </w:rPr>
        <w:t>новы</w:t>
      </w:r>
      <w:r w:rsidR="00331847" w:rsidRPr="00DF1530">
        <w:rPr>
          <w:lang w:val="ru-RU"/>
        </w:rPr>
        <w:t>м</w:t>
      </w:r>
      <w:r w:rsidR="00470EC8" w:rsidRPr="00DF1530">
        <w:rPr>
          <w:lang w:val="ru-RU"/>
        </w:rPr>
        <w:t xml:space="preserve"> </w:t>
      </w:r>
      <w:r w:rsidR="0047268B" w:rsidRPr="00DF1530">
        <w:rPr>
          <w:lang w:val="ru-RU"/>
        </w:rPr>
        <w:t>возможност</w:t>
      </w:r>
      <w:r w:rsidR="00331847" w:rsidRPr="00DF1530">
        <w:rPr>
          <w:lang w:val="ru-RU"/>
        </w:rPr>
        <w:t>ям</w:t>
      </w:r>
      <w:r w:rsidR="00470EC8" w:rsidRPr="00DF1530">
        <w:rPr>
          <w:lang w:val="ru-RU"/>
        </w:rPr>
        <w:t xml:space="preserve"> для экспорта</w:t>
      </w:r>
      <w:r w:rsidR="008C7A93" w:rsidRPr="00DF1530">
        <w:rPr>
          <w:lang w:val="ru-RU"/>
        </w:rPr>
        <w:t xml:space="preserve">, </w:t>
      </w:r>
      <w:r w:rsidR="00470EC8" w:rsidRPr="00DF1530">
        <w:rPr>
          <w:lang w:val="ru-RU"/>
        </w:rPr>
        <w:t xml:space="preserve">при условии, что российские </w:t>
      </w:r>
      <w:r w:rsidR="00F736B7" w:rsidRPr="00DF1530">
        <w:rPr>
          <w:lang w:val="ru-RU"/>
        </w:rPr>
        <w:t>МСП</w:t>
      </w:r>
      <w:r w:rsidR="008C7A93" w:rsidRPr="00DF1530">
        <w:rPr>
          <w:lang w:val="ru-RU"/>
        </w:rPr>
        <w:t xml:space="preserve"> </w:t>
      </w:r>
      <w:r w:rsidR="00470EC8" w:rsidRPr="00DF1530">
        <w:rPr>
          <w:lang w:val="ru-RU"/>
        </w:rPr>
        <w:t xml:space="preserve">и </w:t>
      </w:r>
      <w:r w:rsidR="00347E3A" w:rsidRPr="00DF1530">
        <w:rPr>
          <w:lang w:val="ru-RU"/>
        </w:rPr>
        <w:t>предприниматели</w:t>
      </w:r>
      <w:r w:rsidR="008C7A93" w:rsidRPr="00DF1530">
        <w:rPr>
          <w:lang w:val="ru-RU"/>
        </w:rPr>
        <w:t xml:space="preserve"> </w:t>
      </w:r>
      <w:r w:rsidR="00470EC8" w:rsidRPr="00DF1530">
        <w:rPr>
          <w:lang w:val="ru-RU"/>
        </w:rPr>
        <w:t>станут более инновационными</w:t>
      </w:r>
      <w:r w:rsidR="008C7A93" w:rsidRPr="00DF1530">
        <w:rPr>
          <w:lang w:val="ru-RU"/>
        </w:rPr>
        <w:t xml:space="preserve">, </w:t>
      </w:r>
      <w:r w:rsidR="00470EC8" w:rsidRPr="00DF1530">
        <w:rPr>
          <w:lang w:val="ru-RU"/>
        </w:rPr>
        <w:t>конкурентоспособными и глобально ориентированными</w:t>
      </w:r>
      <w:r w:rsidR="008C7A93" w:rsidRPr="00DF1530">
        <w:rPr>
          <w:lang w:val="ru-RU"/>
        </w:rPr>
        <w:t xml:space="preserve">. </w:t>
      </w:r>
      <w:r w:rsidR="008240A7" w:rsidRPr="00DF1530">
        <w:rPr>
          <w:lang w:val="ru-RU"/>
        </w:rPr>
        <w:t xml:space="preserve">Постепенное открытие для международной конкуренции на внутренних рынках </w:t>
      </w:r>
      <w:r w:rsidR="00592D7B" w:rsidRPr="00DF1530">
        <w:rPr>
          <w:lang w:val="ru-RU"/>
        </w:rPr>
        <w:t>также</w:t>
      </w:r>
      <w:r w:rsidR="008C7A93" w:rsidRPr="00DF1530">
        <w:rPr>
          <w:lang w:val="ru-RU"/>
        </w:rPr>
        <w:t xml:space="preserve"> </w:t>
      </w:r>
      <w:r w:rsidR="008240A7" w:rsidRPr="00DF1530">
        <w:rPr>
          <w:lang w:val="ru-RU"/>
        </w:rPr>
        <w:t xml:space="preserve">требует модернизации даже от </w:t>
      </w:r>
      <w:r w:rsidR="00F736B7" w:rsidRPr="00DF1530">
        <w:rPr>
          <w:lang w:val="ru-RU"/>
        </w:rPr>
        <w:t>МСП</w:t>
      </w:r>
      <w:r w:rsidR="008240A7" w:rsidRPr="00DF1530">
        <w:rPr>
          <w:lang w:val="ru-RU"/>
        </w:rPr>
        <w:t>, работающих на внутреннем рынке</w:t>
      </w:r>
      <w:r w:rsidR="008C7A93" w:rsidRPr="00DF1530">
        <w:rPr>
          <w:lang w:val="ru-RU"/>
        </w:rPr>
        <w:t xml:space="preserve">.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1.6.</w:t>
      </w:r>
      <w:r w:rsidR="008C7A93" w:rsidRPr="00DF1530">
        <w:rPr>
          <w:lang w:val="ru-RU"/>
        </w:rPr>
        <w:tab/>
      </w:r>
      <w:r w:rsidR="00F14910" w:rsidRPr="00DF1530">
        <w:rPr>
          <w:lang w:val="ru-RU"/>
        </w:rPr>
        <w:t>Показатель регулирования товарного рынка</w:t>
      </w:r>
      <w:r w:rsidR="008C7A93" w:rsidRPr="00DF1530">
        <w:rPr>
          <w:lang w:val="ru-RU"/>
        </w:rPr>
        <w:t xml:space="preserve">: </w:t>
      </w:r>
      <w:r w:rsidR="00F14910" w:rsidRPr="00DF1530">
        <w:rPr>
          <w:lang w:val="ru-RU"/>
        </w:rPr>
        <w:t>барьеры</w:t>
      </w:r>
      <w:r w:rsidR="008C7A93" w:rsidRPr="00DF1530">
        <w:rPr>
          <w:lang w:val="ru-RU"/>
        </w:rPr>
        <w:t xml:space="preserve"> </w:t>
      </w:r>
      <w:r w:rsidR="00F14910" w:rsidRPr="00DF1530">
        <w:rPr>
          <w:lang w:val="ru-RU"/>
        </w:rPr>
        <w:t>для внешней торговли</w:t>
      </w:r>
      <w:r w:rsidR="008C7A93" w:rsidRPr="00DF1530">
        <w:rPr>
          <w:lang w:val="ru-RU"/>
        </w:rPr>
        <w:t xml:space="preserve"> </w:t>
      </w:r>
      <w:r w:rsidR="00F14910" w:rsidRPr="00DF1530">
        <w:rPr>
          <w:lang w:val="ru-RU"/>
        </w:rPr>
        <w:t>и инвестиций</w:t>
      </w:r>
      <w:r w:rsidR="009030BD" w:rsidRPr="00DF1530">
        <w:rPr>
          <w:lang w:val="ru-RU"/>
        </w:rPr>
        <w:fldChar w:fldCharType="begin"/>
      </w:r>
      <w:r w:rsidR="008C7A93" w:rsidRPr="00DF1530">
        <w:rPr>
          <w:lang w:val="ru-RU"/>
        </w:rPr>
        <w:instrText xml:space="preserve"> TC \f f \l 2 "</w:instrText>
      </w:r>
      <w:bookmarkStart w:id="51" w:name="_Toc411604106"/>
      <w:r w:rsidR="008C7A93" w:rsidRPr="00DF1530">
        <w:rPr>
          <w:lang w:val="ru-RU"/>
        </w:rPr>
        <w:instrText>Figure 1.6.</w:instrText>
      </w:r>
      <w:r w:rsidR="008C7A93" w:rsidRPr="00DF1530">
        <w:rPr>
          <w:lang w:val="ru-RU"/>
        </w:rPr>
        <w:tab/>
        <w:instrText>Product market regulation indicator: barriers to foreign trade and investment</w:instrText>
      </w:r>
      <w:bookmarkEnd w:id="51"/>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FigureSub-title"/>
        <w:rPr>
          <w:lang w:val="ru-RU"/>
        </w:rPr>
      </w:pPr>
      <w:r w:rsidRPr="00DF1530">
        <w:rPr>
          <w:lang w:val="ru-RU"/>
        </w:rPr>
        <w:t xml:space="preserve">2008 </w:t>
      </w:r>
      <w:r w:rsidR="00F14910" w:rsidRPr="00DF1530">
        <w:rPr>
          <w:lang w:val="ru-RU"/>
        </w:rPr>
        <w:t xml:space="preserve">и </w:t>
      </w:r>
      <w:r w:rsidRPr="00DF1530">
        <w:rPr>
          <w:lang w:val="ru-RU"/>
        </w:rPr>
        <w:t>2013</w:t>
      </w:r>
      <w:r w:rsidR="00F14910" w:rsidRPr="00DF1530">
        <w:rPr>
          <w:lang w:val="ru-RU"/>
        </w:rPr>
        <w:t xml:space="preserve"> гг.</w:t>
      </w:r>
      <w:r w:rsidRPr="00DF1530">
        <w:rPr>
          <w:lang w:val="ru-RU"/>
        </w:rPr>
        <w:t xml:space="preserve">, </w:t>
      </w:r>
      <w:r w:rsidR="00F14910" w:rsidRPr="00DF1530">
        <w:rPr>
          <w:lang w:val="ru-RU"/>
        </w:rPr>
        <w:t xml:space="preserve">величина </w:t>
      </w:r>
      <w:r w:rsidR="000D5BD8" w:rsidRPr="00DF1530">
        <w:rPr>
          <w:lang w:val="ru-RU"/>
        </w:rPr>
        <w:t xml:space="preserve">индекса </w:t>
      </w:r>
      <w:r w:rsidR="00F14910" w:rsidRPr="00DF1530">
        <w:rPr>
          <w:lang w:val="ru-RU"/>
        </w:rPr>
        <w:t xml:space="preserve">от </w:t>
      </w:r>
      <w:r w:rsidRPr="00DF1530">
        <w:rPr>
          <w:lang w:val="ru-RU"/>
        </w:rPr>
        <w:t xml:space="preserve">0 </w:t>
      </w:r>
      <w:r w:rsidR="00F14910" w:rsidRPr="00DF1530">
        <w:rPr>
          <w:lang w:val="ru-RU"/>
        </w:rPr>
        <w:t xml:space="preserve">до </w:t>
      </w:r>
      <w:r w:rsidRPr="00DF1530">
        <w:rPr>
          <w:lang w:val="ru-RU"/>
        </w:rPr>
        <w:t>6</w:t>
      </w:r>
      <w:r w:rsidR="00F14910" w:rsidRPr="00DF1530">
        <w:rPr>
          <w:lang w:val="ru-RU"/>
        </w:rPr>
        <w:t>,</w:t>
      </w:r>
      <w:r w:rsidRPr="00DF1530">
        <w:rPr>
          <w:lang w:val="ru-RU"/>
        </w:rPr>
        <w:t xml:space="preserve"> </w:t>
      </w:r>
      <w:r w:rsidR="00F14910" w:rsidRPr="00DF1530">
        <w:rPr>
          <w:lang w:val="ru-RU"/>
        </w:rPr>
        <w:t>от наименее до наиболее ограничительного</w:t>
      </w:r>
    </w:p>
    <w:p w:rsidR="008C7A93" w:rsidRPr="00DF1530" w:rsidRDefault="008C7A93" w:rsidP="008C7A93">
      <w:pPr>
        <w:pStyle w:val="Graphic"/>
        <w:keepNext/>
        <w:keepLines/>
        <w:rPr>
          <w:szCs w:val="24"/>
          <w:lang w:val="ru-RU"/>
        </w:rPr>
      </w:pPr>
      <w:r w:rsidRPr="00DF1530">
        <w:rPr>
          <w:noProof/>
          <w:szCs w:val="24"/>
          <w:lang w:val="ru-RU" w:eastAsia="ru-RU"/>
        </w:rPr>
        <w:drawing>
          <wp:inline distT="0" distB="0" distL="0" distR="0">
            <wp:extent cx="6155626" cy="3284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9523" cy="3291940"/>
                    </a:xfrm>
                    <a:prstGeom prst="rect">
                      <a:avLst/>
                    </a:prstGeom>
                    <a:noFill/>
                  </pic:spPr>
                </pic:pic>
              </a:graphicData>
            </a:graphic>
          </wp:inline>
        </w:drawing>
      </w:r>
    </w:p>
    <w:p w:rsidR="008C7A93" w:rsidRPr="00DF1530" w:rsidRDefault="00DD2995" w:rsidP="008C7A93">
      <w:pPr>
        <w:pStyle w:val="FigureNote"/>
        <w:keepNext/>
        <w:keepLines/>
        <w:rPr>
          <w:lang w:val="ru-RU" w:eastAsia="en-GB"/>
        </w:rPr>
      </w:pPr>
      <w:r w:rsidRPr="00DF1530">
        <w:rPr>
          <w:lang w:val="ru-RU"/>
        </w:rPr>
        <w:t>Примечание:</w:t>
      </w:r>
      <w:r w:rsidR="008C7A93" w:rsidRPr="00DF1530">
        <w:rPr>
          <w:lang w:val="ru-RU"/>
        </w:rPr>
        <w:t xml:space="preserve"> </w:t>
      </w:r>
      <w:r w:rsidR="0001592A" w:rsidRPr="00DF1530">
        <w:rPr>
          <w:lang w:val="ru-RU"/>
        </w:rPr>
        <w:t>П</w:t>
      </w:r>
      <w:r w:rsidR="00F14910" w:rsidRPr="00DF1530">
        <w:rPr>
          <w:lang w:val="ru-RU"/>
        </w:rPr>
        <w:t>оказатель</w:t>
      </w:r>
      <w:r w:rsidR="008C7A93" w:rsidRPr="00DF1530">
        <w:rPr>
          <w:lang w:val="ru-RU"/>
        </w:rPr>
        <w:t xml:space="preserve"> </w:t>
      </w:r>
      <w:r w:rsidR="0001592A" w:rsidRPr="00DF1530">
        <w:rPr>
          <w:lang w:val="ru-RU"/>
        </w:rPr>
        <w:t xml:space="preserve">отражает </w:t>
      </w:r>
      <w:r w:rsidR="00F14910" w:rsidRPr="00DF1530">
        <w:rPr>
          <w:lang w:val="ru-RU"/>
        </w:rPr>
        <w:t>барьеры</w:t>
      </w:r>
      <w:r w:rsidR="008C7A93" w:rsidRPr="00DF1530">
        <w:rPr>
          <w:lang w:val="ru-RU"/>
        </w:rPr>
        <w:t xml:space="preserve"> </w:t>
      </w:r>
      <w:r w:rsidR="0001592A" w:rsidRPr="00DF1530">
        <w:rPr>
          <w:lang w:val="ru-RU"/>
        </w:rPr>
        <w:t>для внешней торговли и инвестиций в двух областях</w:t>
      </w:r>
      <w:r w:rsidR="008C7A93" w:rsidRPr="00DF1530">
        <w:rPr>
          <w:lang w:val="ru-RU"/>
        </w:rPr>
        <w:t xml:space="preserve">: </w:t>
      </w:r>
      <w:r w:rsidR="0001592A" w:rsidRPr="00DF1530">
        <w:rPr>
          <w:lang w:val="ru-RU"/>
        </w:rPr>
        <w:t xml:space="preserve">прямые </w:t>
      </w:r>
      <w:r w:rsidR="00F14910" w:rsidRPr="00DF1530">
        <w:rPr>
          <w:lang w:val="ru-RU"/>
        </w:rPr>
        <w:t>барьеры</w:t>
      </w:r>
      <w:r w:rsidR="008C7A93" w:rsidRPr="00DF1530">
        <w:rPr>
          <w:lang w:val="ru-RU"/>
        </w:rPr>
        <w:t xml:space="preserve"> </w:t>
      </w:r>
      <w:r w:rsidR="0001592A" w:rsidRPr="00DF1530">
        <w:rPr>
          <w:lang w:val="ru-RU"/>
        </w:rPr>
        <w:t xml:space="preserve">для внешней торговли и инвестиций </w:t>
      </w:r>
      <w:r w:rsidR="008C7A93" w:rsidRPr="00DF1530">
        <w:rPr>
          <w:lang w:val="ru-RU"/>
        </w:rPr>
        <w:t>(</w:t>
      </w:r>
      <w:r w:rsidR="00F14910" w:rsidRPr="00DF1530">
        <w:rPr>
          <w:lang w:val="ru-RU"/>
        </w:rPr>
        <w:t>барьеры</w:t>
      </w:r>
      <w:r w:rsidR="008C7A93" w:rsidRPr="00DF1530">
        <w:rPr>
          <w:lang w:val="ru-RU"/>
        </w:rPr>
        <w:t xml:space="preserve"> </w:t>
      </w:r>
      <w:r w:rsidR="0001592A" w:rsidRPr="00DF1530">
        <w:rPr>
          <w:lang w:val="ru-RU"/>
        </w:rPr>
        <w:t>для</w:t>
      </w:r>
      <w:r w:rsidR="008C7A93" w:rsidRPr="00DF1530">
        <w:rPr>
          <w:lang w:val="ru-RU"/>
        </w:rPr>
        <w:t xml:space="preserve"> FDI, </w:t>
      </w:r>
      <w:r w:rsidR="0001592A" w:rsidRPr="00DF1530">
        <w:rPr>
          <w:lang w:val="ru-RU"/>
        </w:rPr>
        <w:t xml:space="preserve">тарифные </w:t>
      </w:r>
      <w:r w:rsidR="00F14910" w:rsidRPr="00DF1530">
        <w:rPr>
          <w:lang w:val="ru-RU"/>
        </w:rPr>
        <w:t>барьеры</w:t>
      </w:r>
      <w:r w:rsidR="008C7A93" w:rsidRPr="00DF1530">
        <w:rPr>
          <w:lang w:val="ru-RU"/>
        </w:rPr>
        <w:t xml:space="preserve">) </w:t>
      </w:r>
      <w:r w:rsidR="0001592A" w:rsidRPr="00DF1530">
        <w:rPr>
          <w:lang w:val="ru-RU"/>
        </w:rPr>
        <w:t xml:space="preserve">и другие </w:t>
      </w:r>
      <w:r w:rsidR="00F14910" w:rsidRPr="00DF1530">
        <w:rPr>
          <w:lang w:val="ru-RU"/>
        </w:rPr>
        <w:t>барьеры</w:t>
      </w:r>
      <w:r w:rsidR="008C7A93" w:rsidRPr="00DF1530">
        <w:rPr>
          <w:lang w:val="ru-RU"/>
        </w:rPr>
        <w:t xml:space="preserve"> </w:t>
      </w:r>
      <w:r w:rsidR="0001592A" w:rsidRPr="00DF1530">
        <w:rPr>
          <w:lang w:val="ru-RU"/>
        </w:rPr>
        <w:t xml:space="preserve">для внешней торговли и инвестиций </w:t>
      </w:r>
      <w:r w:rsidR="008C7A93" w:rsidRPr="00DF1530">
        <w:rPr>
          <w:lang w:val="ru-RU"/>
        </w:rPr>
        <w:t>(</w:t>
      </w:r>
      <w:r w:rsidR="0001592A" w:rsidRPr="00DF1530">
        <w:rPr>
          <w:lang w:val="ru-RU"/>
        </w:rPr>
        <w:t>особый режим для иностранных поставщиков</w:t>
      </w:r>
      <w:r w:rsidR="008C7A93" w:rsidRPr="00DF1530">
        <w:rPr>
          <w:lang w:val="ru-RU"/>
        </w:rPr>
        <w:t xml:space="preserve">, </w:t>
      </w:r>
      <w:r w:rsidR="00F14910" w:rsidRPr="00DF1530">
        <w:rPr>
          <w:lang w:val="ru-RU"/>
        </w:rPr>
        <w:t>барьеры</w:t>
      </w:r>
      <w:r w:rsidR="008C7A93" w:rsidRPr="00DF1530">
        <w:rPr>
          <w:lang w:val="ru-RU"/>
        </w:rPr>
        <w:t xml:space="preserve"> </w:t>
      </w:r>
      <w:r w:rsidR="0001592A" w:rsidRPr="00DF1530">
        <w:rPr>
          <w:lang w:val="ru-RU"/>
        </w:rPr>
        <w:t>для содействия торговле</w:t>
      </w:r>
      <w:r w:rsidR="008C7A93" w:rsidRPr="00DF1530">
        <w:rPr>
          <w:lang w:val="ru-RU"/>
        </w:rPr>
        <w:t>)</w:t>
      </w:r>
      <w:r w:rsidR="008C7A93" w:rsidRPr="00DF1530">
        <w:rPr>
          <w:lang w:val="ru-RU" w:eastAsia="en-GB"/>
        </w:rPr>
        <w:t xml:space="preserve">. </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C155FE" w:rsidRPr="00BA51F1">
        <w:rPr>
          <w:lang w:val="en-US"/>
        </w:rPr>
        <w:t>OECD Product Market Regulation database</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35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704F6" w:rsidRPr="00C704F6">
        <w:rPr>
          <w:lang w:val="ru-RU"/>
        </w:rPr>
        <w:t xml:space="preserve"> </w:t>
      </w:r>
      <w:proofErr w:type="gramStart"/>
      <w:r w:rsidR="00C704F6" w:rsidRPr="00C704F6">
        <w:rPr>
          <w:lang w:val="ru-RU"/>
        </w:rPr>
        <w:t>Во многих странах с формирующимся рынком и странах с развитой экономикой, присутствие фондов прямых венчурных иностранных инвестиций (ПИИ) является основным способом передачи знаний отечественным МСП, которые помогают им улучшить их технологии в соответствии с лучшими мировыми стандартами как через каналы, включающие контракты на поставку и техническую поддержку, так и  с помощью демонстрации высокой эффективности и конкурентного давления.</w:t>
      </w:r>
      <w:proofErr w:type="gramEnd"/>
      <w:r w:rsidR="00C704F6" w:rsidRPr="00C704F6">
        <w:rPr>
          <w:lang w:val="ru-RU"/>
        </w:rPr>
        <w:t xml:space="preserve"> Однако, тот факт, что доля ПИИ составляет всего 25% российского ВВП, что сравнительно немного, является частичным следствием наличия регулятивных барьеров.</w:t>
      </w:r>
      <w:r w:rsidR="008C7A93" w:rsidRPr="00DF1530">
        <w:rPr>
          <w:lang w:val="ru-RU"/>
        </w:rPr>
        <w:t xml:space="preserve"> (</w:t>
      </w:r>
      <w:r w:rsidR="00592D7B" w:rsidRPr="00DF1530">
        <w:rPr>
          <w:lang w:val="ru-RU"/>
        </w:rPr>
        <w:t>Рисунок</w:t>
      </w:r>
      <w:r w:rsidR="008C7A93" w:rsidRPr="00DF1530">
        <w:rPr>
          <w:lang w:val="ru-RU"/>
        </w:rPr>
        <w:t xml:space="preserve"> 1.7).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1.7.</w:t>
      </w:r>
      <w:r w:rsidR="008C7A93" w:rsidRPr="00DF1530">
        <w:rPr>
          <w:lang w:val="ru-RU"/>
        </w:rPr>
        <w:tab/>
      </w:r>
      <w:r w:rsidR="00CE0C9A" w:rsidRPr="00DF1530">
        <w:rPr>
          <w:lang w:val="ru-RU"/>
        </w:rPr>
        <w:t xml:space="preserve">Индекс регулятивной ограниченности </w:t>
      </w:r>
      <w:proofErr w:type="gramStart"/>
      <w:r w:rsidR="00C704F6">
        <w:rPr>
          <w:lang w:val="ru-RU"/>
        </w:rPr>
        <w:t>для</w:t>
      </w:r>
      <w:proofErr w:type="gramEnd"/>
      <w:r w:rsidR="00C704F6">
        <w:rPr>
          <w:lang w:val="ru-RU"/>
        </w:rPr>
        <w:t xml:space="preserve"> ПИИ</w:t>
      </w:r>
      <w:r w:rsidR="00CE0C9A" w:rsidRPr="00DF1530">
        <w:rPr>
          <w:lang w:val="ru-RU"/>
        </w:rPr>
        <w:t xml:space="preserve"> </w:t>
      </w:r>
      <w:r w:rsidR="009030BD" w:rsidRPr="00DF1530">
        <w:rPr>
          <w:lang w:val="ru-RU"/>
        </w:rPr>
        <w:fldChar w:fldCharType="begin"/>
      </w:r>
      <w:r w:rsidR="008C7A93" w:rsidRPr="00DF1530">
        <w:rPr>
          <w:lang w:val="ru-RU"/>
        </w:rPr>
        <w:instrText xml:space="preserve"> TC \f f \l 2 "</w:instrText>
      </w:r>
      <w:bookmarkStart w:id="52" w:name="_Toc411604107"/>
      <w:r w:rsidR="008C7A93" w:rsidRPr="00DF1530">
        <w:rPr>
          <w:lang w:val="ru-RU"/>
        </w:rPr>
        <w:instrText>Figure 1.7.</w:instrText>
      </w:r>
      <w:r w:rsidR="008C7A93" w:rsidRPr="00DF1530">
        <w:rPr>
          <w:lang w:val="ru-RU"/>
        </w:rPr>
        <w:tab/>
        <w:instrText>FDI Regulatory Restrictiveness Index</w:instrText>
      </w:r>
      <w:bookmarkEnd w:id="52"/>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FigureSub-title"/>
        <w:rPr>
          <w:lang w:val="ru-RU"/>
        </w:rPr>
      </w:pPr>
      <w:r w:rsidRPr="00DF1530">
        <w:rPr>
          <w:lang w:val="ru-RU"/>
        </w:rPr>
        <w:t xml:space="preserve">2006 </w:t>
      </w:r>
      <w:r w:rsidR="002861E4" w:rsidRPr="00DF1530">
        <w:rPr>
          <w:lang w:val="ru-RU"/>
        </w:rPr>
        <w:t xml:space="preserve">и </w:t>
      </w:r>
      <w:r w:rsidRPr="00DF1530">
        <w:rPr>
          <w:lang w:val="ru-RU"/>
        </w:rPr>
        <w:t>2013</w:t>
      </w:r>
      <w:r w:rsidR="002861E4" w:rsidRPr="00DF1530">
        <w:rPr>
          <w:lang w:val="ru-RU"/>
        </w:rPr>
        <w:t xml:space="preserve"> гг.</w:t>
      </w:r>
      <w:r w:rsidRPr="00DF1530">
        <w:rPr>
          <w:lang w:val="ru-RU"/>
        </w:rPr>
        <w:t xml:space="preserve">, </w:t>
      </w:r>
      <w:r w:rsidR="002861E4" w:rsidRPr="00DF1530">
        <w:rPr>
          <w:lang w:val="ru-RU"/>
        </w:rPr>
        <w:t xml:space="preserve">величина </w:t>
      </w:r>
      <w:r w:rsidR="000D5BD8" w:rsidRPr="00DF1530">
        <w:rPr>
          <w:lang w:val="ru-RU"/>
        </w:rPr>
        <w:t xml:space="preserve">индекса </w:t>
      </w:r>
      <w:r w:rsidRPr="00DF1530">
        <w:rPr>
          <w:lang w:val="ru-RU"/>
        </w:rPr>
        <w:t>0-1</w:t>
      </w:r>
      <w:r w:rsidR="002861E4" w:rsidRPr="00DF1530">
        <w:rPr>
          <w:lang w:val="ru-RU"/>
        </w:rPr>
        <w:t>, от наименее до наиболее ограничительного</w:t>
      </w:r>
    </w:p>
    <w:p w:rsidR="008C7A93" w:rsidRPr="00DF1530" w:rsidRDefault="008C7A93" w:rsidP="008C7A93">
      <w:pPr>
        <w:pStyle w:val="Graphic"/>
        <w:rPr>
          <w:noProof/>
          <w:szCs w:val="24"/>
          <w:lang w:val="ru-RU" w:eastAsia="en-GB"/>
        </w:rPr>
      </w:pPr>
      <w:r w:rsidRPr="00DF1530">
        <w:rPr>
          <w:noProof/>
          <w:szCs w:val="24"/>
          <w:lang w:val="ru-RU" w:eastAsia="ru-RU"/>
        </w:rPr>
        <w:drawing>
          <wp:inline distT="0" distB="0" distL="0" distR="0">
            <wp:extent cx="6027073" cy="320405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076" cy="3209906"/>
                    </a:xfrm>
                    <a:prstGeom prst="rect">
                      <a:avLst/>
                    </a:prstGeom>
                    <a:noFill/>
                  </pic:spPr>
                </pic:pic>
              </a:graphicData>
            </a:graphic>
          </wp:inline>
        </w:drawing>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5E53F2" w:rsidRPr="00DF1530">
        <w:rPr>
          <w:lang w:val="ru-RU"/>
        </w:rPr>
        <w:t>ОЭСР</w:t>
      </w:r>
      <w:r w:rsidR="008C7A93" w:rsidRPr="00BA51F1">
        <w:rPr>
          <w:lang w:val="en-US"/>
        </w:rPr>
        <w:t>, FDI Regulatory Restrictiveness database</w:t>
      </w:r>
    </w:p>
    <w:p w:rsidR="008C7A93" w:rsidRPr="00DF1530" w:rsidRDefault="00F14910" w:rsidP="008C7A93">
      <w:pPr>
        <w:pStyle w:val="31"/>
        <w:rPr>
          <w:rFonts w:eastAsiaTheme="minorHAnsi"/>
          <w:lang w:val="ru-RU" w:eastAsia="en-US"/>
        </w:rPr>
      </w:pPr>
      <w:r w:rsidRPr="00DF1530">
        <w:rPr>
          <w:lang w:val="ru-RU"/>
        </w:rPr>
        <w:t>Барьеры</w:t>
      </w:r>
      <w:r w:rsidR="008C7A93" w:rsidRPr="00DF1530">
        <w:rPr>
          <w:lang w:val="ru-RU"/>
        </w:rPr>
        <w:t xml:space="preserve"> </w:t>
      </w:r>
      <w:r w:rsidR="006128F1" w:rsidRPr="00DF1530">
        <w:rPr>
          <w:lang w:val="ru-RU"/>
        </w:rPr>
        <w:t>для проникновения на товарный рынок</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35F09" w:rsidRPr="00335F09">
        <w:rPr>
          <w:lang w:val="ru-RU"/>
        </w:rPr>
        <w:t xml:space="preserve"> Одним из препятствий для развития предпринимательства и МСП в Российской Федерации является то, что государство продолжает играть прямую ведущую роль в экономике через огромное число предприятий с госсобственностью и использованием методов контроля цен в ключевых секторах (рис. 1.8). Эти ограничения препятствуют частным фирмам выходить на рынок в некоторых секторах. На долю предприятий с государственным участием приходится более 80% продаж, активов и рыночной стоимости 10 крупнейших корпораций Российской Федерации, они занимают доминирующую позицию в таких секторах как банковское дело, транспорт и энергетика. Тем не менее, в настоящее время происходит устойчивый процесс приватизации, который ведет к продаже частному сектору предприятий с государственным участием, как крупных, так и меньшего размера.</w:t>
      </w:r>
      <w:r w:rsidR="008C7A93" w:rsidRPr="00DF1530">
        <w:rPr>
          <w:lang w:val="ru-RU"/>
        </w:rPr>
        <w:t xml:space="preserve">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1.8.</w:t>
      </w:r>
      <w:r w:rsidR="008C7A93" w:rsidRPr="00DF1530">
        <w:rPr>
          <w:lang w:val="ru-RU"/>
        </w:rPr>
        <w:tab/>
      </w:r>
      <w:r w:rsidR="000D5BD8" w:rsidRPr="00DF1530">
        <w:rPr>
          <w:lang w:val="ru-RU"/>
        </w:rPr>
        <w:t>Показатель регулирования т</w:t>
      </w:r>
      <w:r w:rsidR="006128F1" w:rsidRPr="00DF1530">
        <w:rPr>
          <w:lang w:val="ru-RU"/>
        </w:rPr>
        <w:t>оварн</w:t>
      </w:r>
      <w:r w:rsidR="000D5BD8" w:rsidRPr="00DF1530">
        <w:rPr>
          <w:lang w:val="ru-RU"/>
        </w:rPr>
        <w:t>ого</w:t>
      </w:r>
      <w:r w:rsidR="006128F1" w:rsidRPr="00DF1530">
        <w:rPr>
          <w:lang w:val="ru-RU"/>
        </w:rPr>
        <w:t xml:space="preserve"> рынк</w:t>
      </w:r>
      <w:r w:rsidR="000D5BD8" w:rsidRPr="00DF1530">
        <w:rPr>
          <w:lang w:val="ru-RU"/>
        </w:rPr>
        <w:t>а</w:t>
      </w:r>
      <w:r w:rsidR="008C7A93" w:rsidRPr="00DF1530">
        <w:rPr>
          <w:lang w:val="ru-RU"/>
        </w:rPr>
        <w:t xml:space="preserve">: </w:t>
      </w:r>
      <w:r w:rsidR="000D5BD8" w:rsidRPr="00DF1530">
        <w:rPr>
          <w:lang w:val="ru-RU"/>
        </w:rPr>
        <w:t>государственный контроль</w:t>
      </w:r>
      <w:r w:rsidR="009030BD" w:rsidRPr="00DF1530">
        <w:rPr>
          <w:lang w:val="ru-RU"/>
        </w:rPr>
        <w:fldChar w:fldCharType="begin"/>
      </w:r>
      <w:r w:rsidR="008C7A93" w:rsidRPr="00DF1530">
        <w:rPr>
          <w:lang w:val="ru-RU"/>
        </w:rPr>
        <w:instrText xml:space="preserve"> TC \f f \l 2 "</w:instrText>
      </w:r>
      <w:bookmarkStart w:id="53" w:name="_Toc411604108"/>
      <w:r w:rsidR="008C7A93" w:rsidRPr="00DF1530">
        <w:rPr>
          <w:lang w:val="ru-RU"/>
        </w:rPr>
        <w:instrText>Figure 1.8.</w:instrText>
      </w:r>
      <w:r w:rsidR="008C7A93" w:rsidRPr="00DF1530">
        <w:rPr>
          <w:lang w:val="ru-RU"/>
        </w:rPr>
        <w:tab/>
        <w:instrText>Product market regulation indicator: state control</w:instrText>
      </w:r>
      <w:bookmarkEnd w:id="53"/>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FigureSub-title"/>
        <w:rPr>
          <w:lang w:val="ru-RU"/>
        </w:rPr>
      </w:pPr>
      <w:r w:rsidRPr="00DF1530">
        <w:rPr>
          <w:lang w:val="ru-RU"/>
        </w:rPr>
        <w:t xml:space="preserve">2013 </w:t>
      </w:r>
      <w:r w:rsidR="000D5BD8" w:rsidRPr="00DF1530">
        <w:rPr>
          <w:lang w:val="ru-RU"/>
        </w:rPr>
        <w:t xml:space="preserve">и </w:t>
      </w:r>
      <w:r w:rsidRPr="00DF1530">
        <w:rPr>
          <w:lang w:val="ru-RU"/>
        </w:rPr>
        <w:t>2008</w:t>
      </w:r>
      <w:r w:rsidR="000D5BD8" w:rsidRPr="00DF1530">
        <w:rPr>
          <w:lang w:val="ru-RU"/>
        </w:rPr>
        <w:t xml:space="preserve"> гг.</w:t>
      </w:r>
      <w:r w:rsidRPr="00DF1530">
        <w:rPr>
          <w:lang w:val="ru-RU"/>
        </w:rPr>
        <w:t xml:space="preserve">, </w:t>
      </w:r>
      <w:r w:rsidR="000D5BD8" w:rsidRPr="00DF1530">
        <w:rPr>
          <w:lang w:val="ru-RU"/>
        </w:rPr>
        <w:t>величина индекса от 0 до 6, от наименее до наиболее ограничительного</w:t>
      </w:r>
    </w:p>
    <w:p w:rsidR="008C7A93" w:rsidRPr="00DF1530" w:rsidRDefault="008C7A93" w:rsidP="008C7A93">
      <w:pPr>
        <w:pStyle w:val="Graphic"/>
        <w:rPr>
          <w:szCs w:val="24"/>
          <w:lang w:val="ru-RU"/>
        </w:rPr>
      </w:pPr>
      <w:r w:rsidRPr="00DF1530">
        <w:rPr>
          <w:noProof/>
          <w:szCs w:val="24"/>
          <w:lang w:val="ru-RU" w:eastAsia="ru-RU"/>
        </w:rPr>
        <w:drawing>
          <wp:inline distT="0" distB="0" distL="0" distR="0">
            <wp:extent cx="6239674" cy="3329371"/>
            <wp:effectExtent l="0" t="0" r="8890"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5353" cy="3337737"/>
                    </a:xfrm>
                    <a:prstGeom prst="rect">
                      <a:avLst/>
                    </a:prstGeom>
                    <a:noFill/>
                  </pic:spPr>
                </pic:pic>
              </a:graphicData>
            </a:graphic>
          </wp:inline>
        </w:drawing>
      </w:r>
    </w:p>
    <w:p w:rsidR="008C7A93" w:rsidRPr="00DF1530" w:rsidRDefault="00DD2995" w:rsidP="008C7A93">
      <w:pPr>
        <w:pStyle w:val="FigureNote"/>
        <w:rPr>
          <w:lang w:val="ru-RU" w:eastAsia="en-GB"/>
        </w:rPr>
      </w:pPr>
      <w:r w:rsidRPr="00DF1530">
        <w:rPr>
          <w:lang w:val="ru-RU"/>
        </w:rPr>
        <w:t>Примечание:</w:t>
      </w:r>
      <w:r w:rsidR="008C7A93" w:rsidRPr="00DF1530">
        <w:rPr>
          <w:lang w:val="ru-RU"/>
        </w:rPr>
        <w:t xml:space="preserve"> </w:t>
      </w:r>
      <w:r w:rsidR="009F01F6" w:rsidRPr="00DF1530">
        <w:rPr>
          <w:lang w:val="ru-RU"/>
        </w:rPr>
        <w:t>П</w:t>
      </w:r>
      <w:r w:rsidR="00F14910" w:rsidRPr="00DF1530">
        <w:rPr>
          <w:lang w:val="ru-RU"/>
        </w:rPr>
        <w:t>оказатель</w:t>
      </w:r>
      <w:r w:rsidR="008C7A93" w:rsidRPr="00DF1530">
        <w:rPr>
          <w:lang w:val="ru-RU"/>
        </w:rPr>
        <w:t xml:space="preserve"> </w:t>
      </w:r>
      <w:r w:rsidR="009F01F6" w:rsidRPr="00DF1530">
        <w:rPr>
          <w:lang w:val="ru-RU"/>
        </w:rPr>
        <w:t xml:space="preserve">отражает </w:t>
      </w:r>
      <w:r w:rsidR="000D5BD8" w:rsidRPr="00DF1530">
        <w:rPr>
          <w:lang w:val="ru-RU"/>
        </w:rPr>
        <w:t>государственный контроль</w:t>
      </w:r>
      <w:r w:rsidR="008C7A93" w:rsidRPr="00DF1530">
        <w:rPr>
          <w:lang w:val="ru-RU"/>
        </w:rPr>
        <w:t xml:space="preserve"> </w:t>
      </w:r>
      <w:r w:rsidR="009F01F6" w:rsidRPr="00DF1530">
        <w:rPr>
          <w:lang w:val="ru-RU"/>
        </w:rPr>
        <w:t>в</w:t>
      </w:r>
      <w:r w:rsidR="008C7A93" w:rsidRPr="00DF1530">
        <w:rPr>
          <w:lang w:val="ru-RU"/>
        </w:rPr>
        <w:t xml:space="preserve"> </w:t>
      </w:r>
      <w:r w:rsidR="00834072" w:rsidRPr="00DF1530">
        <w:rPr>
          <w:lang w:val="ru-RU"/>
        </w:rPr>
        <w:t>экономик</w:t>
      </w:r>
      <w:r w:rsidR="009F01F6" w:rsidRPr="00DF1530">
        <w:rPr>
          <w:lang w:val="ru-RU"/>
        </w:rPr>
        <w:t>е</w:t>
      </w:r>
      <w:r w:rsidR="008C7A93" w:rsidRPr="00DF1530">
        <w:rPr>
          <w:lang w:val="ru-RU"/>
        </w:rPr>
        <w:t xml:space="preserve"> </w:t>
      </w:r>
      <w:r w:rsidR="009F01F6" w:rsidRPr="00DF1530">
        <w:rPr>
          <w:lang w:val="ru-RU"/>
        </w:rPr>
        <w:t>в двух областях</w:t>
      </w:r>
      <w:r w:rsidR="008C7A93" w:rsidRPr="00DF1530">
        <w:rPr>
          <w:lang w:val="ru-RU"/>
        </w:rPr>
        <w:t xml:space="preserve">: </w:t>
      </w:r>
      <w:r w:rsidR="00D75B8F" w:rsidRPr="00DF1530">
        <w:rPr>
          <w:lang w:val="ru-RU"/>
        </w:rPr>
        <w:t xml:space="preserve">государственная собственность </w:t>
      </w:r>
      <w:r w:rsidR="008C7A93" w:rsidRPr="00DF1530">
        <w:rPr>
          <w:lang w:val="ru-RU"/>
        </w:rPr>
        <w:t>(</w:t>
      </w:r>
      <w:r w:rsidR="00D75B8F" w:rsidRPr="00DF1530">
        <w:rPr>
          <w:lang w:val="ru-RU"/>
        </w:rPr>
        <w:t>величина государственных</w:t>
      </w:r>
      <w:r w:rsidR="008C7A93" w:rsidRPr="00DF1530">
        <w:rPr>
          <w:lang w:val="ru-RU"/>
        </w:rPr>
        <w:t xml:space="preserve"> </w:t>
      </w:r>
      <w:r w:rsidR="00834072" w:rsidRPr="00DF1530">
        <w:rPr>
          <w:lang w:val="ru-RU"/>
        </w:rPr>
        <w:t>предприяти</w:t>
      </w:r>
      <w:r w:rsidR="00D75B8F" w:rsidRPr="00DF1530">
        <w:rPr>
          <w:lang w:val="ru-RU"/>
        </w:rPr>
        <w:t>й</w:t>
      </w:r>
      <w:r w:rsidR="008C7A93" w:rsidRPr="00DF1530">
        <w:rPr>
          <w:lang w:val="ru-RU"/>
        </w:rPr>
        <w:t xml:space="preserve">, </w:t>
      </w:r>
      <w:r w:rsidR="00D75B8F" w:rsidRPr="00DF1530">
        <w:rPr>
          <w:lang w:val="ru-RU"/>
        </w:rPr>
        <w:t xml:space="preserve">участие </w:t>
      </w:r>
      <w:r w:rsidR="00CD71D1" w:rsidRPr="00DF1530">
        <w:rPr>
          <w:lang w:val="ru-RU"/>
        </w:rPr>
        <w:t>правительств</w:t>
      </w:r>
      <w:r w:rsidR="00D75B8F" w:rsidRPr="00DF1530">
        <w:rPr>
          <w:lang w:val="ru-RU"/>
        </w:rPr>
        <w:t>а</w:t>
      </w:r>
      <w:r w:rsidR="008C7A93" w:rsidRPr="00DF1530">
        <w:rPr>
          <w:lang w:val="ru-RU"/>
        </w:rPr>
        <w:t xml:space="preserve"> </w:t>
      </w:r>
      <w:r w:rsidR="00D75B8F" w:rsidRPr="00DF1530">
        <w:rPr>
          <w:lang w:val="ru-RU"/>
        </w:rPr>
        <w:t>в сетевых секторах</w:t>
      </w:r>
      <w:r w:rsidR="008C7A93" w:rsidRPr="00DF1530">
        <w:rPr>
          <w:lang w:val="ru-RU"/>
        </w:rPr>
        <w:t xml:space="preserve">, </w:t>
      </w:r>
      <w:r w:rsidR="00D75B8F" w:rsidRPr="00DF1530">
        <w:rPr>
          <w:lang w:val="ru-RU"/>
        </w:rPr>
        <w:t xml:space="preserve">непосредственное управление </w:t>
      </w:r>
      <w:r w:rsidR="00834072" w:rsidRPr="00DF1530">
        <w:rPr>
          <w:lang w:val="ru-RU"/>
        </w:rPr>
        <w:t>предприятия</w:t>
      </w:r>
      <w:r w:rsidR="00D75B8F" w:rsidRPr="00DF1530">
        <w:rPr>
          <w:lang w:val="ru-RU"/>
        </w:rPr>
        <w:t>ми</w:t>
      </w:r>
      <w:r w:rsidR="008C7A93" w:rsidRPr="00DF1530">
        <w:rPr>
          <w:lang w:val="ru-RU"/>
        </w:rPr>
        <w:t xml:space="preserve">, </w:t>
      </w:r>
      <w:r w:rsidR="00D75B8F" w:rsidRPr="00DF1530">
        <w:rPr>
          <w:lang w:val="ru-RU"/>
        </w:rPr>
        <w:t xml:space="preserve">управление государственными </w:t>
      </w:r>
      <w:r w:rsidR="00834072" w:rsidRPr="00DF1530">
        <w:rPr>
          <w:lang w:val="ru-RU"/>
        </w:rPr>
        <w:t>предприятия</w:t>
      </w:r>
      <w:r w:rsidR="00D75B8F" w:rsidRPr="00DF1530">
        <w:rPr>
          <w:lang w:val="ru-RU"/>
        </w:rPr>
        <w:t>ми</w:t>
      </w:r>
      <w:r w:rsidR="008C7A93" w:rsidRPr="00DF1530">
        <w:rPr>
          <w:lang w:val="ru-RU"/>
        </w:rPr>
        <w:t xml:space="preserve">) </w:t>
      </w:r>
      <w:r w:rsidR="00D75B8F" w:rsidRPr="00DF1530">
        <w:rPr>
          <w:lang w:val="ru-RU"/>
        </w:rPr>
        <w:t xml:space="preserve">и участие в хозяйственной деятельности </w:t>
      </w:r>
      <w:r w:rsidR="008C7A93" w:rsidRPr="00DF1530">
        <w:rPr>
          <w:lang w:val="ru-RU"/>
        </w:rPr>
        <w:t>(</w:t>
      </w:r>
      <w:r w:rsidR="00D75B8F" w:rsidRPr="00DF1530">
        <w:rPr>
          <w:lang w:val="ru-RU"/>
        </w:rPr>
        <w:t>регулирование цен</w:t>
      </w:r>
      <w:r w:rsidR="008C7A93" w:rsidRPr="00DF1530">
        <w:rPr>
          <w:lang w:val="ru-RU"/>
        </w:rPr>
        <w:t xml:space="preserve">, </w:t>
      </w:r>
      <w:r w:rsidR="00D75B8F" w:rsidRPr="00DF1530">
        <w:rPr>
          <w:lang w:val="ru-RU"/>
        </w:rPr>
        <w:t>распоряжение и регулирование контроля</w:t>
      </w:r>
      <w:r w:rsidR="008C7A93" w:rsidRPr="00DF1530">
        <w:rPr>
          <w:lang w:val="ru-RU"/>
        </w:rPr>
        <w:t>)</w:t>
      </w:r>
      <w:r w:rsidR="008C7A93" w:rsidRPr="00DF1530">
        <w:rPr>
          <w:lang w:val="ru-RU" w:eastAsia="en-GB"/>
        </w:rPr>
        <w:t xml:space="preserve">. </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01592A" w:rsidRPr="00BA51F1">
        <w:rPr>
          <w:lang w:val="en-US"/>
        </w:rPr>
        <w:t xml:space="preserve">OECD </w:t>
      </w:r>
      <w:r w:rsidR="00D75B8F" w:rsidRPr="00BA51F1">
        <w:rPr>
          <w:lang w:val="en-US"/>
        </w:rPr>
        <w:t xml:space="preserve">Product Market </w:t>
      </w:r>
      <w:r w:rsidR="008C7A93" w:rsidRPr="00BA51F1">
        <w:rPr>
          <w:lang w:val="en-US"/>
        </w:rPr>
        <w:t>Regulation database</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F33C4" w:rsidRPr="00DF1530">
        <w:rPr>
          <w:lang w:val="ru-RU"/>
        </w:rPr>
        <w:t>Р</w:t>
      </w:r>
      <w:r w:rsidR="000256F1" w:rsidRPr="00DF1530">
        <w:rPr>
          <w:lang w:val="ru-RU"/>
        </w:rPr>
        <w:t xml:space="preserve">ыночное </w:t>
      </w:r>
      <w:r w:rsidR="00D75B8F" w:rsidRPr="00DF1530">
        <w:rPr>
          <w:lang w:val="ru-RU"/>
        </w:rPr>
        <w:t xml:space="preserve">проникновение </w:t>
      </w:r>
      <w:r w:rsidR="00834072" w:rsidRPr="00DF1530">
        <w:rPr>
          <w:lang w:val="ru-RU"/>
        </w:rPr>
        <w:t>МСП</w:t>
      </w:r>
      <w:r w:rsidR="008C7A93" w:rsidRPr="00DF1530">
        <w:rPr>
          <w:lang w:val="ru-RU"/>
        </w:rPr>
        <w:t xml:space="preserve"> </w:t>
      </w:r>
      <w:r w:rsidR="004F33C4" w:rsidRPr="00DF1530">
        <w:rPr>
          <w:lang w:val="ru-RU"/>
        </w:rPr>
        <w:t xml:space="preserve">сдерживают </w:t>
      </w:r>
      <w:r w:rsidR="00592D7B" w:rsidRPr="00DF1530">
        <w:rPr>
          <w:lang w:val="ru-RU"/>
        </w:rPr>
        <w:t>также</w:t>
      </w:r>
      <w:r w:rsidR="008C7A93" w:rsidRPr="00DF1530">
        <w:rPr>
          <w:lang w:val="ru-RU"/>
        </w:rPr>
        <w:t xml:space="preserve"> </w:t>
      </w:r>
      <w:r w:rsidR="00834072" w:rsidRPr="00DF1530">
        <w:rPr>
          <w:lang w:val="ru-RU"/>
        </w:rPr>
        <w:t>значительны</w:t>
      </w:r>
      <w:r w:rsidR="00D75B8F" w:rsidRPr="00DF1530">
        <w:rPr>
          <w:lang w:val="ru-RU"/>
        </w:rPr>
        <w:t>е</w:t>
      </w:r>
      <w:r w:rsidR="008C7A93" w:rsidRPr="00DF1530">
        <w:rPr>
          <w:lang w:val="ru-RU"/>
        </w:rPr>
        <w:t xml:space="preserve"> </w:t>
      </w:r>
      <w:r w:rsidR="00D75B8F" w:rsidRPr="00DF1530">
        <w:rPr>
          <w:lang w:val="ru-RU"/>
        </w:rPr>
        <w:t>уровни монопольной власти и монополистическая практика влиятельных компаний</w:t>
      </w:r>
      <w:r w:rsidR="008C7A93" w:rsidRPr="00DF1530">
        <w:rPr>
          <w:lang w:val="ru-RU"/>
        </w:rPr>
        <w:t xml:space="preserve">. </w:t>
      </w:r>
      <w:r w:rsidR="003E4CC3" w:rsidRPr="003E4CC3">
        <w:rPr>
          <w:lang w:val="ru-RU"/>
        </w:rPr>
        <w:t>В ответ на это, правительство одобрило в 2013 году новую Дорожную карту по развитию конкуренции, которая, как ожидается, привнесет значительные улучшения в сфере картелей, поглощений, структурного разделения в регулируемых отраслях, регулирования рынка и прав интеллектуальной собственности. Принятие законодательства в этих областях необходимо будет сопровождать усилиями по укреплению технической экспертизы в области конкурентной политики, созданию институциональных механизмов для проведения соответствующих оценок и разработкой мер последовательного применения политики в области конкуренции на общегосударственном уровне.</w:t>
      </w:r>
    </w:p>
    <w:p w:rsidR="008C7A93" w:rsidRPr="00DF1530" w:rsidRDefault="006B707E" w:rsidP="008C7A93">
      <w:pPr>
        <w:pStyle w:val="31"/>
        <w:rPr>
          <w:lang w:val="ru-RU"/>
        </w:rPr>
      </w:pPr>
      <w:r w:rsidRPr="006B707E">
        <w:rPr>
          <w:lang w:val="ru-RU"/>
        </w:rPr>
        <w:t xml:space="preserve">Задачи по повышению доступа МСП к </w:t>
      </w:r>
      <w:proofErr w:type="spellStart"/>
      <w:r w:rsidRPr="006B707E">
        <w:rPr>
          <w:lang w:val="ru-RU"/>
        </w:rPr>
        <w:t>госзакупкам</w:t>
      </w:r>
      <w:proofErr w:type="spellEnd"/>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6B707E" w:rsidRPr="006B707E">
        <w:rPr>
          <w:lang w:val="ru-RU"/>
        </w:rPr>
        <w:t xml:space="preserve"> Осознавая потенциал рынка государственных закупок для развития МСП и предпринимательства, федеральное правительство приняло новое законодательство в 2013 году, обязывающее размещать, по меньшей мере, 15% стоимости госзаказов у МСП. Чтобы помочь достичь этой цели были приняты дополнительные меры, направленные на обособление контрактов для МСП, размер которых до 20 млн. рублей, ограничение требуемого обеспечения у исполнителей контрактов до 2% от начальной цены контракта, введено требование для министерств и ведом</w:t>
      </w:r>
      <w:proofErr w:type="gramStart"/>
      <w:r w:rsidR="006B707E" w:rsidRPr="006B707E">
        <w:rPr>
          <w:lang w:val="ru-RU"/>
        </w:rPr>
        <w:t>ств пр</w:t>
      </w:r>
      <w:proofErr w:type="gramEnd"/>
      <w:r w:rsidR="006B707E" w:rsidRPr="006B707E">
        <w:rPr>
          <w:lang w:val="ru-RU"/>
        </w:rPr>
        <w:t>едоставлять отчеты о размещении заказов у МСП.</w:t>
      </w:r>
      <w:r w:rsidR="008C7A93" w:rsidRPr="00DF1530">
        <w:rPr>
          <w:lang w:val="ru-RU"/>
        </w:rPr>
        <w:t xml:space="preserve">  </w:t>
      </w:r>
    </w:p>
    <w:p w:rsidR="008C7A93" w:rsidRPr="00DF1530" w:rsidRDefault="00964042" w:rsidP="008C7A93">
      <w:pPr>
        <w:pStyle w:val="31"/>
        <w:rPr>
          <w:lang w:val="ru-RU"/>
        </w:rPr>
      </w:pPr>
      <w:r w:rsidRPr="00DF1530">
        <w:rPr>
          <w:lang w:val="ru-RU"/>
        </w:rPr>
        <w:lastRenderedPageBreak/>
        <w:t>С</w:t>
      </w:r>
      <w:r w:rsidR="003B7628" w:rsidRPr="00DF1530">
        <w:rPr>
          <w:lang w:val="ru-RU"/>
        </w:rPr>
        <w:t xml:space="preserve">мягчение </w:t>
      </w:r>
      <w:r w:rsidRPr="00DF1530">
        <w:rPr>
          <w:lang w:val="ru-RU"/>
        </w:rPr>
        <w:t xml:space="preserve">регулятивной нагрузки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849A5" w:rsidRPr="00DF1530">
        <w:rPr>
          <w:lang w:val="ru-RU"/>
        </w:rPr>
        <w:t xml:space="preserve"> </w:t>
      </w:r>
      <w:proofErr w:type="gramStart"/>
      <w:r w:rsidR="00C6345A" w:rsidRPr="00C6345A">
        <w:rPr>
          <w:lang w:val="ru-RU"/>
        </w:rPr>
        <w:t>Правительство достигло серьезного прогресса на пути сокращения бремени административного регулирования бизнеса за последние 5 лет, например, с помощью отлаженных процедур и ограничения времени на обработку заявлений о регистрации собственности, новой системы регистрации судебных прецедентов, сокращение числа налоговых платежей в течение года, упрощенные процедуры декларирования НДС и ускорением процедур ликвидации предприятий и банкротства.</w:t>
      </w:r>
      <w:proofErr w:type="gramEnd"/>
      <w:r w:rsidR="00C6345A" w:rsidRPr="00C6345A">
        <w:rPr>
          <w:lang w:val="ru-RU"/>
        </w:rPr>
        <w:t xml:space="preserve"> В результате Российская Федерация улучшила позиции в рейтинге «</w:t>
      </w:r>
      <w:proofErr w:type="spellStart"/>
      <w:r w:rsidR="00C6345A" w:rsidRPr="00C6345A">
        <w:rPr>
          <w:lang w:val="ru-RU"/>
        </w:rPr>
        <w:t>Doing</w:t>
      </w:r>
      <w:proofErr w:type="spellEnd"/>
      <w:r w:rsidR="00C6345A" w:rsidRPr="00C6345A">
        <w:rPr>
          <w:lang w:val="ru-RU"/>
        </w:rPr>
        <w:t xml:space="preserve"> </w:t>
      </w:r>
      <w:proofErr w:type="spellStart"/>
      <w:r w:rsidR="00C6345A" w:rsidRPr="00C6345A">
        <w:rPr>
          <w:lang w:val="ru-RU"/>
        </w:rPr>
        <w:t>Business</w:t>
      </w:r>
      <w:proofErr w:type="spellEnd"/>
      <w:r w:rsidR="00C6345A" w:rsidRPr="00C6345A">
        <w:rPr>
          <w:lang w:val="ru-RU"/>
        </w:rPr>
        <w:t xml:space="preserve">» Всемирного банка, поднявшись со 120 места в 2009 году до 92-го в 2014 году (из 189 мест). Российская Федерация относительно высоко оценена в международном сопоставлении по параметрам простоты исполнения контрактов, регистрации собственности, уплаты налогов и урегулирования несостоятельности. </w:t>
      </w:r>
      <w:proofErr w:type="gramStart"/>
      <w:r w:rsidR="00C6345A" w:rsidRPr="00C6345A">
        <w:rPr>
          <w:lang w:val="ru-RU"/>
        </w:rPr>
        <w:t>Кроме того, среднее количество дней, необходимых для выполнения набора процедур для открытия собственного бизнеса, заметно упало с 43 до 18 в течение 2004-2013 гг., это достигнуто, например, за счет введения пилотного проекта по созданию «единого окна» для регистрации бизнеса в отдельных регионах и отмены требования для банков иметь карточку образцов подписей уполномоченных лиц перед открытием банковского счета компании.</w:t>
      </w:r>
      <w:r w:rsidR="008C7A93" w:rsidRPr="00DF1530">
        <w:rPr>
          <w:lang w:val="ru-RU"/>
        </w:rPr>
        <w:t xml:space="preserve"> </w:t>
      </w:r>
      <w:proofErr w:type="gramEnd"/>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6345A" w:rsidRPr="00C6345A">
        <w:rPr>
          <w:lang w:val="ru-RU"/>
        </w:rPr>
        <w:t xml:space="preserve"> В интересах усиления данного процесса, правительство поставило задачу вхождения в двадцатку стран рейтинга «</w:t>
      </w:r>
      <w:proofErr w:type="spellStart"/>
      <w:r w:rsidR="00C6345A" w:rsidRPr="00C6345A">
        <w:rPr>
          <w:lang w:val="ru-RU"/>
        </w:rPr>
        <w:t>Doing</w:t>
      </w:r>
      <w:proofErr w:type="spellEnd"/>
      <w:r w:rsidR="00C6345A" w:rsidRPr="00C6345A">
        <w:rPr>
          <w:lang w:val="ru-RU"/>
        </w:rPr>
        <w:t xml:space="preserve"> </w:t>
      </w:r>
      <w:proofErr w:type="spellStart"/>
      <w:r w:rsidR="00C6345A" w:rsidRPr="00C6345A">
        <w:rPr>
          <w:lang w:val="ru-RU"/>
        </w:rPr>
        <w:t>Business</w:t>
      </w:r>
      <w:proofErr w:type="spellEnd"/>
      <w:r w:rsidR="00C6345A" w:rsidRPr="00C6345A">
        <w:rPr>
          <w:lang w:val="ru-RU"/>
        </w:rPr>
        <w:t>» к 2018 году, разработав при этом целую серию дорожных карт Национальной предпринимательской инициативы, покрывающих различные сферы регулирования. Также ожидаются улучшения от недавнего введения процедуры оценки регулирующего воздействия (ОРВ) для рассмотрения новых и существующих законов и нормативных актов, влияющих на МСП. Успех этих инициатив будет зависеть от степени и качества реализации мер на местах. Кроме того, учитывая относительно широкое использование интернета российскими предприятиями, существует реальная возможность для административного соответствия МСП за счет более широкого использования электронных услуг в сфере предпринимательства, таких как онлайн-регистрация, онлайн налоговые декларации и финансовая отчетность.</w:t>
      </w:r>
      <w:r w:rsidR="008C7A93" w:rsidRPr="00DF1530">
        <w:rPr>
          <w:lang w:val="ru-RU"/>
        </w:rPr>
        <w:t xml:space="preserve"> </w:t>
      </w:r>
    </w:p>
    <w:p w:rsidR="008C7A93" w:rsidRPr="00DF1530" w:rsidRDefault="007A646C" w:rsidP="008C7A93">
      <w:pPr>
        <w:pStyle w:val="31"/>
        <w:rPr>
          <w:lang w:val="ru-RU"/>
        </w:rPr>
      </w:pPr>
      <w:r w:rsidRPr="00DF1530">
        <w:rPr>
          <w:lang w:val="ru-RU"/>
        </w:rPr>
        <w:t>Налоги на предприятия остаются высокими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6345A" w:rsidRPr="00C6345A">
        <w:rPr>
          <w:lang w:val="ru-RU"/>
        </w:rPr>
        <w:t xml:space="preserve"> </w:t>
      </w:r>
      <w:proofErr w:type="gramStart"/>
      <w:r w:rsidR="00C6345A" w:rsidRPr="00C6345A">
        <w:rPr>
          <w:lang w:val="ru-RU"/>
        </w:rPr>
        <w:t>Базовая ставка корпоративного подоходного налога была снова уменьшена назад до 20% с 24%, установленных в 2010 году, в результате общая ставка налогообложения в процентах от прибыли предприятий снизилась с 60,0% до 50,7% в период 2006-2014 гг. Тем не менее, последствия высокого корпоративного налогообложения и высоких социальных взносов во внебюджетные фонды по-прежнему являются серьезным препятствием для предпринимательской деятельности в Российской Федерации</w:t>
      </w:r>
      <w:proofErr w:type="gramEnd"/>
      <w:r w:rsidR="00C6345A" w:rsidRPr="00C6345A">
        <w:rPr>
          <w:lang w:val="ru-RU"/>
        </w:rPr>
        <w:t>. Налоговые ставки были определены в качестве основного препятствия для бизнеса более чем 1/3 субъектов МСП и менеджеров по результатам обследования предприятий в 2012, проведенного Всемирным банком, что, для сравнения, в 2 раза выше, чем в странах Восточной Европы и Центральной Азии (ЦА) в целом.</w:t>
      </w:r>
      <w:r w:rsidR="008C7A93" w:rsidRPr="00DF1530">
        <w:rPr>
          <w:lang w:val="ru-RU"/>
        </w:rPr>
        <w:t xml:space="preserve"> </w:t>
      </w:r>
    </w:p>
    <w:p w:rsidR="008C7A93" w:rsidRPr="00DF1530" w:rsidRDefault="001D3F4C" w:rsidP="008C7A93">
      <w:pPr>
        <w:pStyle w:val="31"/>
        <w:rPr>
          <w:rFonts w:eastAsiaTheme="minorHAnsi"/>
          <w:lang w:val="ru-RU" w:eastAsia="en-US"/>
        </w:rPr>
      </w:pPr>
      <w:r w:rsidRPr="00DF1530">
        <w:rPr>
          <w:lang w:val="ru-RU"/>
        </w:rPr>
        <w:t>Неофициальные</w:t>
      </w:r>
      <w:r w:rsidR="008C7A93" w:rsidRPr="00DF1530">
        <w:rPr>
          <w:lang w:val="ru-RU"/>
        </w:rPr>
        <w:t xml:space="preserve"> </w:t>
      </w:r>
      <w:r w:rsidRPr="00DF1530">
        <w:rPr>
          <w:lang w:val="ru-RU"/>
        </w:rPr>
        <w:t>платежи</w:t>
      </w:r>
      <w:r w:rsidR="008C7A93" w:rsidRPr="00DF1530">
        <w:rPr>
          <w:lang w:val="ru-RU"/>
        </w:rPr>
        <w:t xml:space="preserve"> </w:t>
      </w:r>
      <w:r w:rsidRPr="00DF1530">
        <w:rPr>
          <w:lang w:val="ru-RU"/>
        </w:rPr>
        <w:t>государственным должностным лицам</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46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6345A" w:rsidRPr="00C6345A">
        <w:rPr>
          <w:lang w:val="ru-RU"/>
        </w:rPr>
        <w:t xml:space="preserve"> В Российской Федерации существует довольно распространенное общественное мнение о том, что бизнес связан коррупционными отношениями с государственными чиновниками. Поэтому Российская Федерация получила только 28 баллов из 100 по оценке Индекса восприятия коррупции, рассчитываемого компанией «</w:t>
      </w:r>
      <w:proofErr w:type="spellStart"/>
      <w:r w:rsidR="00C6345A" w:rsidRPr="00C6345A">
        <w:rPr>
          <w:lang w:val="ru-RU"/>
        </w:rPr>
        <w:t>Transparency</w:t>
      </w:r>
      <w:proofErr w:type="spellEnd"/>
      <w:r w:rsidR="00C6345A" w:rsidRPr="00C6345A">
        <w:rPr>
          <w:lang w:val="ru-RU"/>
        </w:rPr>
        <w:t xml:space="preserve"> </w:t>
      </w:r>
      <w:proofErr w:type="spellStart"/>
      <w:r w:rsidR="00C6345A" w:rsidRPr="00C6345A">
        <w:rPr>
          <w:lang w:val="ru-RU"/>
        </w:rPr>
        <w:t>International</w:t>
      </w:r>
      <w:proofErr w:type="spellEnd"/>
      <w:r w:rsidR="00C6345A" w:rsidRPr="00C6345A">
        <w:rPr>
          <w:lang w:val="ru-RU"/>
        </w:rPr>
        <w:t xml:space="preserve">» в 2013 году, что немного лучше уровня 2008 года, но значительно хуже аналогичных показателей по странам ОЭСР и ключевых стран с формирующимся рынком, таких как Бразилия и Китай. </w:t>
      </w:r>
      <w:r w:rsidR="00C6345A" w:rsidRPr="00C6345A">
        <w:rPr>
          <w:lang w:val="ru-RU"/>
        </w:rPr>
        <w:lastRenderedPageBreak/>
        <w:t>Предприниматели сообщают, что это является существенным ограничением их деятельности, особенно в случае с инновационным предпринимательством. Иллюстрацией этого является частота взятки при решении вопросов с государственными органами; около 13% фирм сообщают о необходимости осуществления платежей, чтобы получить лицензию на деятельность (рис. 1.9). Вероятно, что это и сдержива</w:t>
      </w:r>
      <w:r w:rsidR="00C6345A">
        <w:rPr>
          <w:lang w:val="ru-RU"/>
        </w:rPr>
        <w:t>ет</w:t>
      </w:r>
      <w:r w:rsidR="00C6345A" w:rsidRPr="00C6345A">
        <w:rPr>
          <w:lang w:val="ru-RU"/>
        </w:rPr>
        <w:t xml:space="preserve"> создание новых предприятий и стимулирует предпринимательскую деятельность в неформальном секторе экономики. Тем не </w:t>
      </w:r>
      <w:proofErr w:type="gramStart"/>
      <w:r w:rsidR="00C6345A" w:rsidRPr="00C6345A">
        <w:rPr>
          <w:lang w:val="ru-RU"/>
        </w:rPr>
        <w:t>менее</w:t>
      </w:r>
      <w:proofErr w:type="gramEnd"/>
      <w:r w:rsidR="00C6345A" w:rsidRPr="00C6345A">
        <w:rPr>
          <w:lang w:val="ru-RU"/>
        </w:rPr>
        <w:t xml:space="preserve"> предпринимаются действия, направленные на решение указанной проблемы, в том числе внедряется План по борьбе с коррупцией в 2012 году и принят новый закон о государственных закупках в 2013 году. Данные реформы нуждаются в реализации и расширении.</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1.9.</w:t>
      </w:r>
      <w:r w:rsidR="008C7A93" w:rsidRPr="00DF1530">
        <w:rPr>
          <w:lang w:val="ru-RU"/>
        </w:rPr>
        <w:tab/>
      </w:r>
      <w:r w:rsidR="00C6345A">
        <w:rPr>
          <w:lang w:val="ru-RU"/>
        </w:rPr>
        <w:t>Композитный индекс взяточничества</w:t>
      </w:r>
      <w:r w:rsidR="009030BD" w:rsidRPr="00DF1530">
        <w:rPr>
          <w:lang w:val="ru-RU"/>
        </w:rPr>
        <w:fldChar w:fldCharType="begin"/>
      </w:r>
      <w:r w:rsidR="008C7A93" w:rsidRPr="00DF1530">
        <w:rPr>
          <w:lang w:val="ru-RU"/>
        </w:rPr>
        <w:instrText xml:space="preserve"> TC \f f \l 2 "</w:instrText>
      </w:r>
      <w:bookmarkStart w:id="54" w:name="_Toc411604109"/>
      <w:r w:rsidR="008C7A93" w:rsidRPr="00DF1530">
        <w:rPr>
          <w:lang w:val="ru-RU"/>
        </w:rPr>
        <w:instrText>Figure 1.9.</w:instrText>
      </w:r>
      <w:r w:rsidR="008C7A93" w:rsidRPr="00DF1530">
        <w:rPr>
          <w:lang w:val="ru-RU"/>
        </w:rPr>
        <w:tab/>
        <w:instrText>The composite Graft Index</w:instrText>
      </w:r>
      <w:bookmarkEnd w:id="54"/>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Graphic"/>
        <w:rPr>
          <w:noProof/>
          <w:szCs w:val="24"/>
          <w:lang w:val="ru-RU"/>
        </w:rPr>
      </w:pPr>
      <w:r w:rsidRPr="00DF1530">
        <w:rPr>
          <w:noProof/>
          <w:lang w:val="ru-RU" w:eastAsia="ru-RU"/>
        </w:rPr>
        <w:drawing>
          <wp:inline distT="0" distB="0" distL="0" distR="0">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31F80" w:rsidRPr="00DF1530" w:rsidRDefault="00931F80" w:rsidP="008C7A93">
      <w:pPr>
        <w:pStyle w:val="SourceDescription"/>
        <w:rPr>
          <w:rFonts w:eastAsiaTheme="minorHAnsi"/>
          <w:lang w:val="ru-RU" w:eastAsia="en-US"/>
        </w:rPr>
      </w:pPr>
      <w:r w:rsidRPr="00DF1530">
        <w:rPr>
          <w:rFonts w:eastAsiaTheme="minorHAnsi"/>
          <w:lang w:val="ru-RU" w:eastAsia="en-US"/>
        </w:rPr>
        <w:t>Доход выше среднего</w:t>
      </w:r>
    </w:p>
    <w:p w:rsidR="00931F80" w:rsidRPr="00DF1530" w:rsidRDefault="00931F80" w:rsidP="00931F80">
      <w:pPr>
        <w:pStyle w:val="SourceDescription"/>
        <w:rPr>
          <w:rFonts w:eastAsiaTheme="minorHAnsi"/>
          <w:lang w:val="ru-RU" w:eastAsia="en-US"/>
        </w:rPr>
      </w:pPr>
      <w:r w:rsidRPr="00DF1530">
        <w:rPr>
          <w:rFonts w:eastAsiaTheme="minorHAnsi"/>
          <w:lang w:val="ru-RU" w:eastAsia="en-US"/>
        </w:rPr>
        <w:t>ECA</w:t>
      </w:r>
    </w:p>
    <w:p w:rsidR="00931F80" w:rsidRPr="00DF1530" w:rsidRDefault="00931F80" w:rsidP="00931F80">
      <w:pPr>
        <w:pStyle w:val="SourceDescription"/>
        <w:rPr>
          <w:rFonts w:eastAsiaTheme="minorHAnsi"/>
          <w:lang w:val="ru-RU" w:eastAsia="en-US"/>
        </w:rPr>
      </w:pPr>
      <w:r w:rsidRPr="00DF1530">
        <w:rPr>
          <w:rFonts w:eastAsiaTheme="minorHAnsi"/>
          <w:lang w:val="ru-RU" w:eastAsia="en-US"/>
        </w:rPr>
        <w:t>Российская Федерация</w:t>
      </w:r>
    </w:p>
    <w:p w:rsidR="008C7A93" w:rsidRPr="00BA51F1" w:rsidRDefault="00592D7B" w:rsidP="008C7A93">
      <w:pPr>
        <w:pStyle w:val="SourceDescription"/>
        <w:rPr>
          <w:rFonts w:eastAsiaTheme="minorHAnsi"/>
          <w:lang w:val="en-US" w:eastAsia="en-US"/>
        </w:rPr>
      </w:pPr>
      <w:r w:rsidRPr="00DF1530">
        <w:rPr>
          <w:rFonts w:eastAsiaTheme="minorHAnsi"/>
          <w:lang w:val="ru-RU" w:eastAsia="en-US"/>
        </w:rPr>
        <w:t>Источник</w:t>
      </w:r>
      <w:r w:rsidRPr="00BA51F1">
        <w:rPr>
          <w:rFonts w:eastAsiaTheme="minorHAnsi"/>
          <w:lang w:val="en-US" w:eastAsia="en-US"/>
        </w:rPr>
        <w:t xml:space="preserve"> </w:t>
      </w:r>
      <w:r w:rsidRPr="00DF1530">
        <w:rPr>
          <w:rFonts w:eastAsiaTheme="minorHAnsi"/>
          <w:lang w:val="ru-RU" w:eastAsia="en-US"/>
        </w:rPr>
        <w:t>информации</w:t>
      </w:r>
      <w:r w:rsidR="008C7A93" w:rsidRPr="00BA51F1">
        <w:rPr>
          <w:rFonts w:eastAsiaTheme="minorHAnsi"/>
          <w:lang w:val="en-US" w:eastAsia="en-US"/>
        </w:rPr>
        <w:t xml:space="preserve">: </w:t>
      </w:r>
      <w:proofErr w:type="gramStart"/>
      <w:r w:rsidR="008C7A93" w:rsidRPr="00BA51F1">
        <w:rPr>
          <w:rFonts w:eastAsiaTheme="minorHAnsi"/>
          <w:lang w:val="en-US" w:eastAsia="en-US"/>
        </w:rPr>
        <w:t xml:space="preserve">IFC/World Bank </w:t>
      </w:r>
      <w:r w:rsidR="00931F80" w:rsidRPr="00BA51F1">
        <w:rPr>
          <w:rFonts w:eastAsiaTheme="minorHAnsi"/>
          <w:lang w:val="en-US" w:eastAsia="en-US"/>
        </w:rPr>
        <w:t>Enterprise</w:t>
      </w:r>
      <w:r w:rsidR="008C7A93" w:rsidRPr="00BA51F1">
        <w:rPr>
          <w:rFonts w:eastAsiaTheme="minorHAnsi"/>
          <w:lang w:val="en-US" w:eastAsia="en-US"/>
        </w:rPr>
        <w:t xml:space="preserve"> Survey (2012).</w:t>
      </w:r>
      <w:proofErr w:type="gramEnd"/>
    </w:p>
    <w:p w:rsidR="008C7A93" w:rsidRPr="00DF1530" w:rsidRDefault="00B25674" w:rsidP="008C7A93">
      <w:pPr>
        <w:pStyle w:val="31"/>
        <w:rPr>
          <w:rFonts w:eastAsiaTheme="minorHAnsi"/>
          <w:lang w:val="ru-RU" w:eastAsia="en-US"/>
        </w:rPr>
      </w:pPr>
      <w:r w:rsidRPr="00DF1530">
        <w:rPr>
          <w:rFonts w:eastAsiaTheme="minorHAnsi"/>
          <w:lang w:val="ru-RU" w:eastAsia="en-US"/>
        </w:rPr>
        <w:t>Должно быть у</w:t>
      </w:r>
      <w:r w:rsidR="00CB5FF5" w:rsidRPr="00DF1530">
        <w:rPr>
          <w:rFonts w:eastAsiaTheme="minorHAnsi"/>
          <w:lang w:val="ru-RU" w:eastAsia="en-US"/>
        </w:rPr>
        <w:t xml:space="preserve">креплено </w:t>
      </w:r>
      <w:r w:rsidRPr="00DF1530">
        <w:rPr>
          <w:rFonts w:eastAsiaTheme="minorHAnsi"/>
          <w:lang w:val="ru-RU" w:eastAsia="en-US"/>
        </w:rPr>
        <w:t xml:space="preserve">верховенство закона </w:t>
      </w:r>
    </w:p>
    <w:p w:rsidR="008C7A93" w:rsidRPr="00DF1530" w:rsidRDefault="009030BD" w:rsidP="008C7A93">
      <w:pPr>
        <w:pStyle w:val="Num-DocParagraph"/>
        <w:rPr>
          <w:lang w:val="ru-RU"/>
        </w:rPr>
      </w:pPr>
      <w:r w:rsidRPr="00DF1530">
        <w:rPr>
          <w:rFonts w:eastAsiaTheme="minorHAnsi"/>
          <w:lang w:val="ru-RU" w:eastAsia="en-US"/>
        </w:rPr>
        <w:fldChar w:fldCharType="begin"/>
      </w:r>
      <w:r w:rsidR="008C7A93" w:rsidRPr="00DF1530">
        <w:rPr>
          <w:rFonts w:eastAsiaTheme="minorHAnsi"/>
          <w:lang w:val="ru-RU" w:eastAsia="en-US"/>
        </w:rPr>
        <w:instrText xml:space="preserve"> MACROBUTTON NUMBERING </w:instrText>
      </w:r>
      <w:r w:rsidRPr="00DF1530">
        <w:rPr>
          <w:rFonts w:eastAsiaTheme="minorHAnsi"/>
          <w:lang w:val="ru-RU" w:eastAsia="en-US"/>
        </w:rPr>
        <w:fldChar w:fldCharType="begin"/>
      </w:r>
      <w:r w:rsidR="008C7A93" w:rsidRPr="00DF1530">
        <w:rPr>
          <w:rFonts w:eastAsiaTheme="minorHAnsi"/>
          <w:lang w:val="ru-RU" w:eastAsia="en-US"/>
        </w:rPr>
        <w:instrText xml:space="preserve"> SEQ  dpara</w:instrText>
      </w:r>
      <w:r w:rsidRPr="00DF1530">
        <w:rPr>
          <w:rFonts w:eastAsiaTheme="minorHAnsi"/>
          <w:lang w:val="ru-RU" w:eastAsia="en-US"/>
        </w:rPr>
        <w:fldChar w:fldCharType="separate"/>
      </w:r>
      <w:r w:rsidR="008C7A93" w:rsidRPr="00DF1530">
        <w:rPr>
          <w:rFonts w:eastAsiaTheme="minorHAnsi"/>
          <w:noProof/>
          <w:lang w:val="ru-RU" w:eastAsia="en-US"/>
        </w:rPr>
        <w:instrText>48</w:instrText>
      </w:r>
      <w:r w:rsidRPr="00DF1530">
        <w:rPr>
          <w:rFonts w:eastAsiaTheme="minorHAnsi"/>
          <w:lang w:val="ru-RU" w:eastAsia="en-US"/>
        </w:rPr>
        <w:fldChar w:fldCharType="end"/>
      </w:r>
      <w:r w:rsidR="008C7A93" w:rsidRPr="00DF1530">
        <w:rPr>
          <w:rFonts w:eastAsiaTheme="minorHAnsi"/>
          <w:lang w:val="ru-RU" w:eastAsia="en-US"/>
        </w:rPr>
        <w:instrText>.</w:instrText>
      </w:r>
      <w:r w:rsidR="008C7A93" w:rsidRPr="00DF1530">
        <w:rPr>
          <w:rFonts w:eastAsiaTheme="minorHAnsi"/>
          <w:lang w:val="ru-RU" w:eastAsia="en-US"/>
        </w:rPr>
        <w:tab/>
      </w:r>
      <w:r w:rsidRPr="00DF1530">
        <w:rPr>
          <w:rFonts w:eastAsiaTheme="minorHAnsi"/>
          <w:lang w:val="ru-RU" w:eastAsia="en-US"/>
        </w:rPr>
        <w:fldChar w:fldCharType="end"/>
      </w:r>
      <w:r w:rsidR="00B25674" w:rsidRPr="00DF1530">
        <w:rPr>
          <w:lang w:val="ru-RU"/>
        </w:rPr>
        <w:t xml:space="preserve"> </w:t>
      </w:r>
      <w:r w:rsidR="00C6345A" w:rsidRPr="00C6345A">
        <w:rPr>
          <w:lang w:val="ru-RU"/>
        </w:rPr>
        <w:t xml:space="preserve">Верховенство закона имеет </w:t>
      </w:r>
      <w:proofErr w:type="gramStart"/>
      <w:r w:rsidR="00C6345A" w:rsidRPr="00C6345A">
        <w:rPr>
          <w:lang w:val="ru-RU"/>
        </w:rPr>
        <w:t>важное значение</w:t>
      </w:r>
      <w:proofErr w:type="gramEnd"/>
      <w:r w:rsidR="00C6345A" w:rsidRPr="00C6345A">
        <w:rPr>
          <w:lang w:val="ru-RU"/>
        </w:rPr>
        <w:t xml:space="preserve"> </w:t>
      </w:r>
      <w:r w:rsidR="00C6345A">
        <w:rPr>
          <w:lang w:val="ru-RU"/>
        </w:rPr>
        <w:t>для</w:t>
      </w:r>
      <w:r w:rsidR="00C6345A" w:rsidRPr="00C6345A">
        <w:rPr>
          <w:lang w:val="ru-RU"/>
        </w:rPr>
        <w:t xml:space="preserve"> стимулирования и создания стабильных условий для развития предпринимательства. Тем не менее, Российская Федерация занимает только 80-е место из 99 стран по Всемирному индексу верховенства закона в 2014 году, базирующемся на мерах, включающих правовые ограничения власти правительства в таких областях как экспроприация активов бизнеса, базовые права граждан и независимость судов (табл. 1.2). </w:t>
      </w:r>
      <w:proofErr w:type="gramStart"/>
      <w:r w:rsidR="00C6345A" w:rsidRPr="00C6345A">
        <w:rPr>
          <w:lang w:val="ru-RU"/>
        </w:rPr>
        <w:t>Меры были введены, чтобы помочь решить эти проблемы, в том числе с помощью увеличения заработной платы и подготовки судей, которые должны способствовать построению независимости системы и справедливости, а также введения в 2012 году института федерального бизнес-омбудсмен</w:t>
      </w:r>
      <w:r w:rsidR="00C6345A">
        <w:rPr>
          <w:lang w:val="ru-RU"/>
        </w:rPr>
        <w:t>а</w:t>
      </w:r>
      <w:r w:rsidR="00C6345A" w:rsidRPr="00C6345A">
        <w:rPr>
          <w:lang w:val="ru-RU"/>
        </w:rPr>
        <w:t xml:space="preserve">, который будет играть важную роль в расследовании дел о несправедливости, вызванной плохим государственным регулированием предприятий, а также </w:t>
      </w:r>
      <w:r w:rsidR="00C6345A" w:rsidRPr="00C6345A">
        <w:rPr>
          <w:lang w:val="ru-RU"/>
        </w:rPr>
        <w:lastRenderedPageBreak/>
        <w:t>будет выступать в качестве адвоката для бизнеса</w:t>
      </w:r>
      <w:proofErr w:type="gramEnd"/>
      <w:r w:rsidR="00C6345A" w:rsidRPr="00C6345A">
        <w:rPr>
          <w:lang w:val="ru-RU"/>
        </w:rPr>
        <w:t xml:space="preserve"> в правительстве. Тем не менее, дополнительные меры также будут необходимы.</w:t>
      </w:r>
    </w:p>
    <w:p w:rsidR="008C7A93" w:rsidRPr="00DF1530" w:rsidRDefault="00CB734F" w:rsidP="008C7A93">
      <w:pPr>
        <w:pStyle w:val="TableTitle"/>
        <w:rPr>
          <w:lang w:val="ru-RU"/>
        </w:rPr>
      </w:pPr>
      <w:r w:rsidRPr="00DF1530">
        <w:rPr>
          <w:lang w:val="ru-RU"/>
        </w:rPr>
        <w:t>Таблица</w:t>
      </w:r>
      <w:r w:rsidR="008C7A93" w:rsidRPr="00DF1530">
        <w:rPr>
          <w:lang w:val="ru-RU"/>
        </w:rPr>
        <w:t xml:space="preserve"> 1.2.</w:t>
      </w:r>
      <w:r w:rsidR="008C7A93" w:rsidRPr="00DF1530">
        <w:rPr>
          <w:lang w:val="ru-RU"/>
        </w:rPr>
        <w:tab/>
      </w:r>
      <w:r w:rsidR="000077F7" w:rsidRPr="00DF1530">
        <w:rPr>
          <w:lang w:val="ru-RU"/>
        </w:rPr>
        <w:t xml:space="preserve">Индекс </w:t>
      </w:r>
      <w:r w:rsidR="008C7A93" w:rsidRPr="00DF1530">
        <w:rPr>
          <w:lang w:val="ru-RU"/>
        </w:rPr>
        <w:t>World Justice Project Rule of Law, 2014</w:t>
      </w:r>
      <w:r w:rsidR="00FE69BF" w:rsidRPr="00DF1530">
        <w:rPr>
          <w:lang w:val="ru-RU"/>
        </w:rPr>
        <w:t xml:space="preserve"> г.</w:t>
      </w:r>
      <w:r w:rsidR="009030BD" w:rsidRPr="00DF1530">
        <w:rPr>
          <w:lang w:val="ru-RU"/>
        </w:rPr>
        <w:fldChar w:fldCharType="begin"/>
      </w:r>
      <w:r w:rsidR="008C7A93" w:rsidRPr="00DF1530">
        <w:rPr>
          <w:lang w:val="ru-RU"/>
        </w:rPr>
        <w:instrText xml:space="preserve"> TC \f t \l 2 "Table 1.1.</w:instrText>
      </w:r>
      <w:r w:rsidR="008C7A93" w:rsidRPr="00DF1530">
        <w:rPr>
          <w:lang w:val="ru-RU"/>
        </w:rPr>
        <w:tab/>
        <w:instrText xml:space="preserve">Rankings on the World Justice Project Rule of Law Index, 2014"  </w:instrText>
      </w:r>
      <w:r w:rsidR="009030BD" w:rsidRPr="00DF1530">
        <w:rPr>
          <w:lang w:val="ru-RU"/>
        </w:rPr>
        <w:fldChar w:fldCharType="end"/>
      </w:r>
    </w:p>
    <w:tbl>
      <w:tblPr>
        <w:tblW w:w="0" w:type="auto"/>
        <w:tblLayout w:type="fixed"/>
        <w:tblLook w:val="0000"/>
      </w:tblPr>
      <w:tblGrid>
        <w:gridCol w:w="3425"/>
        <w:gridCol w:w="2906"/>
        <w:gridCol w:w="2906"/>
      </w:tblGrid>
      <w:tr w:rsidR="008C7A93" w:rsidRPr="00953748" w:rsidTr="005E53F2">
        <w:tc>
          <w:tcPr>
            <w:tcW w:w="3425" w:type="dxa"/>
            <w:tcBorders>
              <w:top w:val="single" w:sz="4" w:space="0" w:color="auto"/>
              <w:bottom w:val="single" w:sz="4" w:space="0" w:color="auto"/>
            </w:tcBorders>
            <w:shd w:val="clear" w:color="auto" w:fill="auto"/>
          </w:tcPr>
          <w:p w:rsidR="008C7A93" w:rsidRPr="00DF1530" w:rsidRDefault="00FE69BF" w:rsidP="00FE69BF">
            <w:pPr>
              <w:pStyle w:val="ColumnsHeading"/>
              <w:keepNext/>
              <w:keepLines/>
              <w:rPr>
                <w:lang w:val="ru-RU"/>
              </w:rPr>
            </w:pPr>
            <w:r w:rsidRPr="00DF1530">
              <w:rPr>
                <w:lang w:val="ru-RU"/>
              </w:rPr>
              <w:t>Тематическая область</w:t>
            </w:r>
          </w:p>
        </w:tc>
        <w:tc>
          <w:tcPr>
            <w:tcW w:w="2906" w:type="dxa"/>
            <w:tcBorders>
              <w:top w:val="single" w:sz="4" w:space="0" w:color="auto"/>
              <w:bottom w:val="single" w:sz="4" w:space="0" w:color="auto"/>
            </w:tcBorders>
            <w:shd w:val="clear" w:color="auto" w:fill="auto"/>
          </w:tcPr>
          <w:p w:rsidR="008C7A93" w:rsidRPr="00DF1530" w:rsidRDefault="005E53F2" w:rsidP="005E53F2">
            <w:pPr>
              <w:pStyle w:val="ColumnsHeading"/>
              <w:keepNext/>
              <w:keepLines/>
              <w:rPr>
                <w:lang w:val="ru-RU"/>
              </w:rPr>
            </w:pPr>
            <w:r w:rsidRPr="00DF1530">
              <w:rPr>
                <w:lang w:val="ru-RU"/>
              </w:rPr>
              <w:t>Российская Федерация</w:t>
            </w:r>
          </w:p>
        </w:tc>
        <w:tc>
          <w:tcPr>
            <w:tcW w:w="2906" w:type="dxa"/>
            <w:tcBorders>
              <w:top w:val="single" w:sz="4" w:space="0" w:color="auto"/>
              <w:bottom w:val="single" w:sz="4" w:space="0" w:color="auto"/>
            </w:tcBorders>
            <w:shd w:val="clear" w:color="auto" w:fill="auto"/>
          </w:tcPr>
          <w:p w:rsidR="008C7A93" w:rsidRPr="00DF1530" w:rsidRDefault="00D3769A" w:rsidP="00FE69BF">
            <w:pPr>
              <w:pStyle w:val="ColumnsHeading"/>
              <w:keepNext/>
              <w:keepLines/>
              <w:rPr>
                <w:lang w:val="ru-RU"/>
              </w:rPr>
            </w:pPr>
            <w:r w:rsidRPr="00DF1530">
              <w:rPr>
                <w:lang w:val="ru-RU"/>
              </w:rPr>
              <w:t>Восточная Европа</w:t>
            </w:r>
            <w:r w:rsidR="008C7A93" w:rsidRPr="00DF1530">
              <w:rPr>
                <w:lang w:val="ru-RU"/>
              </w:rPr>
              <w:t xml:space="preserve"> </w:t>
            </w:r>
            <w:r w:rsidR="00FE69BF" w:rsidRPr="00DF1530">
              <w:rPr>
                <w:lang w:val="ru-RU"/>
              </w:rPr>
              <w:t xml:space="preserve">и </w:t>
            </w:r>
            <w:r w:rsidRPr="00DF1530">
              <w:rPr>
                <w:lang w:val="ru-RU"/>
              </w:rPr>
              <w:t>Центральная Азия</w:t>
            </w:r>
            <w:r w:rsidR="00FE69BF" w:rsidRPr="00DF1530">
              <w:rPr>
                <w:lang w:val="ru-RU"/>
              </w:rPr>
              <w:t>,</w:t>
            </w:r>
            <w:r w:rsidR="008C7A93" w:rsidRPr="00DF1530">
              <w:rPr>
                <w:lang w:val="ru-RU"/>
              </w:rPr>
              <w:t xml:space="preserve"> </w:t>
            </w:r>
            <w:r w:rsidR="00FE69BF" w:rsidRPr="00DF1530">
              <w:rPr>
                <w:lang w:val="ru-RU"/>
              </w:rPr>
              <w:t>в среднем</w:t>
            </w:r>
          </w:p>
        </w:tc>
      </w:tr>
      <w:tr w:rsidR="008C7A93" w:rsidRPr="00DF1530" w:rsidTr="005E53F2">
        <w:tc>
          <w:tcPr>
            <w:tcW w:w="3425" w:type="dxa"/>
            <w:tcBorders>
              <w:top w:val="single" w:sz="4" w:space="0" w:color="auto"/>
            </w:tcBorders>
            <w:shd w:val="clear" w:color="auto" w:fill="auto"/>
          </w:tcPr>
          <w:p w:rsidR="008C7A93" w:rsidRPr="00DF1530" w:rsidRDefault="00FE69BF" w:rsidP="005E53F2">
            <w:pPr>
              <w:pStyle w:val="RowsHeading"/>
              <w:keepNext/>
              <w:keepLines/>
              <w:rPr>
                <w:lang w:val="ru-RU"/>
              </w:rPr>
            </w:pPr>
            <w:r w:rsidRPr="00DF1530">
              <w:rPr>
                <w:lang w:val="ru-RU"/>
              </w:rPr>
              <w:t>Ограничения на полномочия правительства</w:t>
            </w:r>
          </w:p>
        </w:tc>
        <w:tc>
          <w:tcPr>
            <w:tcW w:w="2906" w:type="dxa"/>
            <w:tcBorders>
              <w:top w:val="single" w:sz="4" w:space="0" w:color="auto"/>
            </w:tcBorders>
            <w:shd w:val="clear" w:color="auto" w:fill="auto"/>
          </w:tcPr>
          <w:p w:rsidR="008C7A93" w:rsidRPr="00DF1530" w:rsidRDefault="008C7A93" w:rsidP="005E53F2">
            <w:pPr>
              <w:pStyle w:val="Cell"/>
              <w:keepNext/>
              <w:keepLines/>
              <w:tabs>
                <w:tab w:val="decimal" w:pos="1537"/>
              </w:tabs>
              <w:rPr>
                <w:lang w:val="ru-RU"/>
              </w:rPr>
            </w:pPr>
            <w:r w:rsidRPr="00DF1530">
              <w:rPr>
                <w:lang w:val="ru-RU"/>
              </w:rPr>
              <w:t>89</w:t>
            </w:r>
          </w:p>
        </w:tc>
        <w:tc>
          <w:tcPr>
            <w:tcW w:w="2906" w:type="dxa"/>
            <w:tcBorders>
              <w:top w:val="single" w:sz="4" w:space="0" w:color="auto"/>
            </w:tcBorders>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75</w:t>
            </w:r>
          </w:p>
        </w:tc>
      </w:tr>
      <w:tr w:rsidR="008C7A93" w:rsidRPr="00DF1530" w:rsidTr="005E53F2">
        <w:tc>
          <w:tcPr>
            <w:tcW w:w="3425" w:type="dxa"/>
            <w:shd w:val="clear" w:color="auto" w:fill="auto"/>
          </w:tcPr>
          <w:p w:rsidR="008C7A93" w:rsidRPr="00DF1530" w:rsidRDefault="00FE69BF" w:rsidP="00FE69BF">
            <w:pPr>
              <w:pStyle w:val="RowsHeading"/>
              <w:keepNext/>
              <w:keepLines/>
              <w:rPr>
                <w:lang w:val="ru-RU"/>
              </w:rPr>
            </w:pPr>
            <w:r w:rsidRPr="00DF1530">
              <w:rPr>
                <w:lang w:val="ru-RU"/>
              </w:rPr>
              <w:t>Отсутствие</w:t>
            </w:r>
            <w:r w:rsidR="008C7A93" w:rsidRPr="00DF1530">
              <w:rPr>
                <w:lang w:val="ru-RU"/>
              </w:rPr>
              <w:t xml:space="preserve"> </w:t>
            </w:r>
            <w:r w:rsidRPr="00DF1530">
              <w:rPr>
                <w:lang w:val="ru-RU"/>
              </w:rPr>
              <w:t>коррупции</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66</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63</w:t>
            </w:r>
          </w:p>
        </w:tc>
      </w:tr>
      <w:tr w:rsidR="008C7A93" w:rsidRPr="00DF1530" w:rsidTr="005E53F2">
        <w:tc>
          <w:tcPr>
            <w:tcW w:w="3425" w:type="dxa"/>
            <w:shd w:val="clear" w:color="auto" w:fill="auto"/>
          </w:tcPr>
          <w:p w:rsidR="008C7A93" w:rsidRPr="00DF1530" w:rsidRDefault="00FE69BF" w:rsidP="00FE69BF">
            <w:pPr>
              <w:pStyle w:val="RowsHeading"/>
              <w:keepNext/>
              <w:keepLines/>
              <w:rPr>
                <w:lang w:val="ru-RU"/>
              </w:rPr>
            </w:pPr>
            <w:r w:rsidRPr="00DF1530">
              <w:rPr>
                <w:lang w:val="ru-RU"/>
              </w:rPr>
              <w:t xml:space="preserve">Открытое </w:t>
            </w:r>
            <w:r w:rsidR="00CD71D1" w:rsidRPr="00DF1530">
              <w:rPr>
                <w:lang w:val="ru-RU"/>
              </w:rPr>
              <w:t>правительство</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67</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60</w:t>
            </w:r>
          </w:p>
        </w:tc>
      </w:tr>
      <w:tr w:rsidR="008C7A93" w:rsidRPr="00DF1530" w:rsidTr="005E53F2">
        <w:tc>
          <w:tcPr>
            <w:tcW w:w="3425" w:type="dxa"/>
            <w:shd w:val="clear" w:color="auto" w:fill="auto"/>
          </w:tcPr>
          <w:p w:rsidR="008C7A93" w:rsidRPr="00DF1530" w:rsidRDefault="00FE69BF" w:rsidP="005E53F2">
            <w:pPr>
              <w:pStyle w:val="RowsHeading"/>
              <w:keepNext/>
              <w:keepLines/>
              <w:rPr>
                <w:lang w:val="ru-RU"/>
              </w:rPr>
            </w:pPr>
            <w:r w:rsidRPr="00DF1530">
              <w:rPr>
                <w:lang w:val="ru-RU"/>
              </w:rPr>
              <w:t>Основные права</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79</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62</w:t>
            </w:r>
          </w:p>
        </w:tc>
      </w:tr>
      <w:tr w:rsidR="008C7A93" w:rsidRPr="00DF1530" w:rsidTr="005E53F2">
        <w:tc>
          <w:tcPr>
            <w:tcW w:w="3425" w:type="dxa"/>
            <w:shd w:val="clear" w:color="auto" w:fill="auto"/>
          </w:tcPr>
          <w:p w:rsidR="008C7A93" w:rsidRPr="00DF1530" w:rsidRDefault="00FE69BF" w:rsidP="005E53F2">
            <w:pPr>
              <w:pStyle w:val="RowsHeading"/>
              <w:keepNext/>
              <w:keepLines/>
              <w:rPr>
                <w:lang w:val="ru-RU"/>
              </w:rPr>
            </w:pPr>
            <w:r w:rsidRPr="00DF1530">
              <w:rPr>
                <w:lang w:val="ru-RU"/>
              </w:rPr>
              <w:t>Порядок и безопасность</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75</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42</w:t>
            </w:r>
          </w:p>
        </w:tc>
      </w:tr>
      <w:tr w:rsidR="008C7A93" w:rsidRPr="00DF1530" w:rsidTr="005E53F2">
        <w:tc>
          <w:tcPr>
            <w:tcW w:w="3425" w:type="dxa"/>
            <w:shd w:val="clear" w:color="auto" w:fill="auto"/>
          </w:tcPr>
          <w:p w:rsidR="008C7A93" w:rsidRPr="00DF1530" w:rsidRDefault="00FE69BF" w:rsidP="005E53F2">
            <w:pPr>
              <w:pStyle w:val="RowsHeading"/>
              <w:keepNext/>
              <w:keepLines/>
              <w:rPr>
                <w:lang w:val="ru-RU"/>
              </w:rPr>
            </w:pPr>
            <w:r w:rsidRPr="00DF1530">
              <w:rPr>
                <w:lang w:val="ru-RU"/>
              </w:rPr>
              <w:t>Регулятивное правоприменение</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67</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58</w:t>
            </w:r>
          </w:p>
        </w:tc>
      </w:tr>
      <w:tr w:rsidR="008C7A93" w:rsidRPr="00DF1530" w:rsidTr="005E53F2">
        <w:tc>
          <w:tcPr>
            <w:tcW w:w="3425" w:type="dxa"/>
            <w:shd w:val="clear" w:color="auto" w:fill="auto"/>
          </w:tcPr>
          <w:p w:rsidR="008C7A93" w:rsidRPr="00DF1530" w:rsidRDefault="00FE69BF" w:rsidP="005E53F2">
            <w:pPr>
              <w:pStyle w:val="RowsHeading"/>
              <w:keepNext/>
              <w:keepLines/>
              <w:rPr>
                <w:lang w:val="ru-RU"/>
              </w:rPr>
            </w:pPr>
            <w:r w:rsidRPr="00DF1530">
              <w:rPr>
                <w:lang w:val="ru-RU"/>
              </w:rPr>
              <w:t>Гражданское судопроизводство</w:t>
            </w:r>
          </w:p>
        </w:tc>
        <w:tc>
          <w:tcPr>
            <w:tcW w:w="2906" w:type="dxa"/>
            <w:shd w:val="clear" w:color="auto" w:fill="auto"/>
          </w:tcPr>
          <w:p w:rsidR="008C7A93" w:rsidRPr="00DF1530" w:rsidRDefault="008C7A93" w:rsidP="005E53F2">
            <w:pPr>
              <w:pStyle w:val="Cell"/>
              <w:keepNext/>
              <w:keepLines/>
              <w:tabs>
                <w:tab w:val="decimal" w:pos="1537"/>
              </w:tabs>
              <w:rPr>
                <w:lang w:val="ru-RU"/>
              </w:rPr>
            </w:pPr>
            <w:r w:rsidRPr="00DF1530">
              <w:rPr>
                <w:lang w:val="ru-RU"/>
              </w:rPr>
              <w:t>68</w:t>
            </w:r>
          </w:p>
        </w:tc>
        <w:tc>
          <w:tcPr>
            <w:tcW w:w="2906" w:type="dxa"/>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55</w:t>
            </w:r>
          </w:p>
        </w:tc>
      </w:tr>
      <w:tr w:rsidR="008C7A93" w:rsidRPr="00DF1530" w:rsidTr="005E53F2">
        <w:tc>
          <w:tcPr>
            <w:tcW w:w="3425" w:type="dxa"/>
            <w:tcBorders>
              <w:bottom w:val="single" w:sz="4" w:space="0" w:color="auto"/>
            </w:tcBorders>
            <w:shd w:val="clear" w:color="auto" w:fill="auto"/>
          </w:tcPr>
          <w:p w:rsidR="008C7A93" w:rsidRPr="00DF1530" w:rsidRDefault="00FE69BF" w:rsidP="005E53F2">
            <w:pPr>
              <w:pStyle w:val="RowsHeading"/>
              <w:keepNext/>
              <w:keepLines/>
              <w:rPr>
                <w:lang w:val="ru-RU"/>
              </w:rPr>
            </w:pPr>
            <w:r w:rsidRPr="00DF1530">
              <w:rPr>
                <w:lang w:val="ru-RU"/>
              </w:rPr>
              <w:t>Уголовное судопроизводство</w:t>
            </w:r>
          </w:p>
        </w:tc>
        <w:tc>
          <w:tcPr>
            <w:tcW w:w="2906" w:type="dxa"/>
            <w:tcBorders>
              <w:bottom w:val="single" w:sz="4" w:space="0" w:color="auto"/>
            </w:tcBorders>
            <w:shd w:val="clear" w:color="auto" w:fill="auto"/>
          </w:tcPr>
          <w:p w:rsidR="008C7A93" w:rsidRPr="00DF1530" w:rsidRDefault="008C7A93" w:rsidP="005E53F2">
            <w:pPr>
              <w:pStyle w:val="Cell"/>
              <w:keepNext/>
              <w:keepLines/>
              <w:tabs>
                <w:tab w:val="decimal" w:pos="1537"/>
              </w:tabs>
              <w:rPr>
                <w:lang w:val="ru-RU"/>
              </w:rPr>
            </w:pPr>
            <w:r w:rsidRPr="00DF1530">
              <w:rPr>
                <w:lang w:val="ru-RU"/>
              </w:rPr>
              <w:t>76</w:t>
            </w:r>
          </w:p>
        </w:tc>
        <w:tc>
          <w:tcPr>
            <w:tcW w:w="2906" w:type="dxa"/>
            <w:tcBorders>
              <w:bottom w:val="single" w:sz="4" w:space="0" w:color="auto"/>
            </w:tcBorders>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61</w:t>
            </w:r>
          </w:p>
        </w:tc>
      </w:tr>
      <w:tr w:rsidR="008C7A93" w:rsidRPr="00DF1530" w:rsidTr="005E53F2">
        <w:tc>
          <w:tcPr>
            <w:tcW w:w="3425" w:type="dxa"/>
            <w:tcBorders>
              <w:top w:val="single" w:sz="4" w:space="0" w:color="auto"/>
              <w:bottom w:val="single" w:sz="4" w:space="0" w:color="auto"/>
            </w:tcBorders>
            <w:shd w:val="clear" w:color="auto" w:fill="auto"/>
          </w:tcPr>
          <w:p w:rsidR="008C7A93" w:rsidRPr="00DF1530" w:rsidRDefault="00FE69BF" w:rsidP="005E53F2">
            <w:pPr>
              <w:pStyle w:val="RowsHeading"/>
              <w:keepNext/>
              <w:keepLines/>
              <w:rPr>
                <w:lang w:val="ru-RU"/>
              </w:rPr>
            </w:pPr>
            <w:r w:rsidRPr="00DF1530">
              <w:rPr>
                <w:lang w:val="ru-RU"/>
              </w:rPr>
              <w:t>Мировой рейтинг</w:t>
            </w:r>
          </w:p>
        </w:tc>
        <w:tc>
          <w:tcPr>
            <w:tcW w:w="2906" w:type="dxa"/>
            <w:tcBorders>
              <w:top w:val="single" w:sz="4" w:space="0" w:color="auto"/>
              <w:bottom w:val="single" w:sz="4" w:space="0" w:color="auto"/>
            </w:tcBorders>
            <w:shd w:val="clear" w:color="auto" w:fill="auto"/>
          </w:tcPr>
          <w:p w:rsidR="008C7A93" w:rsidRPr="00DF1530" w:rsidRDefault="008C7A93" w:rsidP="005E53F2">
            <w:pPr>
              <w:pStyle w:val="Cell"/>
              <w:keepNext/>
              <w:keepLines/>
              <w:tabs>
                <w:tab w:val="decimal" w:pos="1537"/>
              </w:tabs>
              <w:rPr>
                <w:lang w:val="ru-RU"/>
              </w:rPr>
            </w:pPr>
            <w:r w:rsidRPr="00DF1530">
              <w:rPr>
                <w:lang w:val="ru-RU"/>
              </w:rPr>
              <w:t>80</w:t>
            </w:r>
          </w:p>
        </w:tc>
        <w:tc>
          <w:tcPr>
            <w:tcW w:w="2906" w:type="dxa"/>
            <w:tcBorders>
              <w:top w:val="single" w:sz="4" w:space="0" w:color="auto"/>
              <w:bottom w:val="single" w:sz="4" w:space="0" w:color="auto"/>
            </w:tcBorders>
            <w:shd w:val="clear" w:color="auto" w:fill="auto"/>
            <w:vAlign w:val="center"/>
          </w:tcPr>
          <w:p w:rsidR="008C7A93" w:rsidRPr="00DF1530" w:rsidRDefault="008C7A93" w:rsidP="005E53F2">
            <w:pPr>
              <w:pStyle w:val="Cell"/>
              <w:keepNext/>
              <w:keepLines/>
              <w:tabs>
                <w:tab w:val="decimal" w:pos="1466"/>
              </w:tabs>
              <w:rPr>
                <w:lang w:val="ru-RU"/>
              </w:rPr>
            </w:pPr>
            <w:r w:rsidRPr="00DF1530">
              <w:rPr>
                <w:lang w:val="ru-RU"/>
              </w:rPr>
              <w:t>60</w:t>
            </w:r>
          </w:p>
        </w:tc>
      </w:tr>
    </w:tbl>
    <w:p w:rsidR="008C7A93" w:rsidRPr="00DF1530" w:rsidRDefault="00DD2995" w:rsidP="008C7A93">
      <w:pPr>
        <w:pStyle w:val="TableNote"/>
        <w:rPr>
          <w:lang w:val="ru-RU"/>
        </w:rPr>
      </w:pPr>
      <w:r w:rsidRPr="00DF1530">
        <w:rPr>
          <w:lang w:val="ru-RU"/>
        </w:rPr>
        <w:t>Примечание:</w:t>
      </w:r>
      <w:r w:rsidR="008C7A93" w:rsidRPr="00DF1530">
        <w:rPr>
          <w:lang w:val="ru-RU"/>
        </w:rPr>
        <w:t xml:space="preserve"> </w:t>
      </w:r>
      <w:r w:rsidR="00FE69BF" w:rsidRPr="00DF1530">
        <w:rPr>
          <w:lang w:val="ru-RU"/>
        </w:rPr>
        <w:t xml:space="preserve">Рейтинги стран от </w:t>
      </w:r>
      <w:r w:rsidR="008C7A93" w:rsidRPr="00DF1530">
        <w:rPr>
          <w:lang w:val="ru-RU"/>
        </w:rPr>
        <w:t>1 (</w:t>
      </w:r>
      <w:r w:rsidR="00FE69BF" w:rsidRPr="00DF1530">
        <w:rPr>
          <w:lang w:val="ru-RU"/>
        </w:rPr>
        <w:t>наилучший</w:t>
      </w:r>
      <w:r w:rsidR="008C7A93" w:rsidRPr="00DF1530">
        <w:rPr>
          <w:lang w:val="ru-RU"/>
        </w:rPr>
        <w:t xml:space="preserve">) </w:t>
      </w:r>
      <w:r w:rsidR="00FE69BF" w:rsidRPr="00DF1530">
        <w:rPr>
          <w:lang w:val="ru-RU"/>
        </w:rPr>
        <w:t xml:space="preserve">до </w:t>
      </w:r>
      <w:r w:rsidR="008C7A93" w:rsidRPr="00DF1530">
        <w:rPr>
          <w:lang w:val="ru-RU"/>
        </w:rPr>
        <w:t>99 (</w:t>
      </w:r>
      <w:r w:rsidR="00FE69BF" w:rsidRPr="00DF1530">
        <w:rPr>
          <w:lang w:val="ru-RU"/>
        </w:rPr>
        <w:t>наихудший</w:t>
      </w:r>
      <w:r w:rsidR="008C7A93" w:rsidRPr="00DF1530">
        <w:rPr>
          <w:lang w:val="ru-RU"/>
        </w:rPr>
        <w:t>)</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World Justice Project Rule of Law Index 2014</w:t>
      </w:r>
    </w:p>
    <w:p w:rsidR="008C7A93" w:rsidRPr="00DF1530" w:rsidRDefault="00FE69BF" w:rsidP="008C7A93">
      <w:pPr>
        <w:pStyle w:val="31"/>
        <w:rPr>
          <w:lang w:val="ru-RU"/>
        </w:rPr>
      </w:pPr>
      <w:r w:rsidRPr="00DF1530">
        <w:rPr>
          <w:lang w:val="ru-RU"/>
        </w:rPr>
        <w:t>Гибкий</w:t>
      </w:r>
      <w:r w:rsidR="008C7A93" w:rsidRPr="00DF1530">
        <w:rPr>
          <w:lang w:val="ru-RU"/>
        </w:rPr>
        <w:t xml:space="preserve"> </w:t>
      </w:r>
      <w:r w:rsidRPr="00DF1530">
        <w:rPr>
          <w:lang w:val="ru-RU"/>
        </w:rPr>
        <w:t>рынок труда</w:t>
      </w:r>
      <w:r w:rsidR="008C7A93" w:rsidRPr="00DF1530">
        <w:rPr>
          <w:lang w:val="ru-RU"/>
        </w:rPr>
        <w:t xml:space="preserve">, </w:t>
      </w:r>
      <w:r w:rsidRPr="00DF1530">
        <w:rPr>
          <w:lang w:val="ru-RU"/>
        </w:rPr>
        <w:t>но недостаточно человеческого капитала</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6345A" w:rsidRPr="00C6345A">
        <w:rPr>
          <w:lang w:val="ru-RU"/>
        </w:rPr>
        <w:t xml:space="preserve"> Свыше 70% взрослого населения Российской Федерации трудоустроены, в то время как уровень безработицы низок – 5,5%. Это отражает гибкость рынка труда, в котором низкие издержки приема-увольнения персонала, показатели движения рабочей силы высоки, работодатели могут оперативно откорректировать количество рабочих часов либо предложить нестандартные трудовые контракты. С другой стороны, МСП имеют ограниченный доступ к квалифицированной рабочей силе. Это не является вопросом, связанным с показателем доступности получения высшего образования, который превышает средний по ОЭСР в три раза, а касается качества образования, в частности профессионально-технического и передачи опыта другим людям. Например, в 2012 году, только 20% российских 25-64-летних людей формально или неформально получали профессиональное образование, что значительно ниже показателей стран ОЭСР (рис. 1.10). Увеличение возможностей получения опыта студентами на предприятиях МСП, гранты или поручительства для МСП для участия в непрерывном обучении, а также усилия по улучшению качества подготовки, предлагаемых российскими профессионально-техническими и учебными заведениями должно быть направлено то, чтобы  поднять уровень квалификации рабочей силы для МСП. Кроме того, следует укрепить роль школьного образования в обеспечении предпринимательских навыков и компетенций.</w:t>
      </w:r>
      <w:r w:rsidR="008C7A93" w:rsidRPr="00DF1530">
        <w:rPr>
          <w:lang w:val="ru-RU"/>
        </w:rPr>
        <w:t xml:space="preserve">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1.10.</w:t>
      </w:r>
      <w:r w:rsidR="008C7A93" w:rsidRPr="00DF1530">
        <w:rPr>
          <w:lang w:val="ru-RU"/>
        </w:rPr>
        <w:tab/>
      </w:r>
      <w:r w:rsidR="00DC360D" w:rsidRPr="00DF1530">
        <w:rPr>
          <w:lang w:val="ru-RU"/>
        </w:rPr>
        <w:t xml:space="preserve"> Прохождение обучения среди взрослого населения</w:t>
      </w:r>
      <w:r w:rsidR="008C7A93" w:rsidRPr="00DF1530">
        <w:rPr>
          <w:lang w:val="ru-RU"/>
        </w:rPr>
        <w:t>, 2012</w:t>
      </w:r>
      <w:r w:rsidR="00DC360D" w:rsidRPr="00DF1530">
        <w:rPr>
          <w:lang w:val="ru-RU"/>
        </w:rPr>
        <w:t xml:space="preserve"> г.</w:t>
      </w:r>
      <w:r w:rsidR="009030BD" w:rsidRPr="00DF1530">
        <w:rPr>
          <w:lang w:val="ru-RU"/>
        </w:rPr>
        <w:fldChar w:fldCharType="begin"/>
      </w:r>
      <w:r w:rsidR="008C7A93" w:rsidRPr="00DF1530">
        <w:rPr>
          <w:lang w:val="ru-RU"/>
        </w:rPr>
        <w:instrText xml:space="preserve"> TC \f f \l 2 "</w:instrText>
      </w:r>
      <w:bookmarkStart w:id="55" w:name="_Toc411604110"/>
      <w:r w:rsidR="008C7A93" w:rsidRPr="00DF1530">
        <w:rPr>
          <w:lang w:val="ru-RU"/>
        </w:rPr>
        <w:instrText>Figure 1.10.</w:instrText>
      </w:r>
      <w:r w:rsidR="008C7A93" w:rsidRPr="00DF1530">
        <w:rPr>
          <w:lang w:val="ru-RU"/>
        </w:rPr>
        <w:tab/>
        <w:instrText>Participation in adult learning, 2012</w:instrText>
      </w:r>
      <w:bookmarkEnd w:id="55"/>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Graphic"/>
        <w:rPr>
          <w:szCs w:val="24"/>
          <w:lang w:val="ru-RU"/>
        </w:rPr>
      </w:pPr>
      <w:r w:rsidRPr="00DF1530">
        <w:rPr>
          <w:noProof/>
          <w:szCs w:val="24"/>
          <w:lang w:val="ru-RU" w:eastAsia="ru-RU"/>
        </w:rPr>
        <w:drawing>
          <wp:inline distT="0" distB="0" distL="0" distR="0">
            <wp:extent cx="6166713" cy="2867079"/>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3358" cy="2870169"/>
                    </a:xfrm>
                    <a:prstGeom prst="rect">
                      <a:avLst/>
                    </a:prstGeom>
                    <a:noFill/>
                  </pic:spPr>
                </pic:pic>
              </a:graphicData>
            </a:graphic>
          </wp:inline>
        </w:drawing>
      </w:r>
    </w:p>
    <w:p w:rsidR="00DC360D" w:rsidRPr="00DF1530" w:rsidRDefault="00DC360D" w:rsidP="008C7A93">
      <w:pPr>
        <w:pStyle w:val="FigureNote"/>
        <w:rPr>
          <w:lang w:val="ru-RU"/>
        </w:rPr>
      </w:pPr>
    </w:p>
    <w:p w:rsidR="008C7A93" w:rsidRPr="00DF1530" w:rsidRDefault="00DD2995" w:rsidP="008C7A93">
      <w:pPr>
        <w:pStyle w:val="FigureNote"/>
        <w:rPr>
          <w:lang w:val="ru-RU" w:eastAsia="en-GB"/>
        </w:rPr>
      </w:pPr>
      <w:r w:rsidRPr="00DF1530">
        <w:rPr>
          <w:lang w:val="ru-RU"/>
        </w:rPr>
        <w:t>Примечание:</w:t>
      </w:r>
      <w:r w:rsidR="008C7A93" w:rsidRPr="00DF1530">
        <w:rPr>
          <w:lang w:val="ru-RU"/>
        </w:rPr>
        <w:t xml:space="preserve"> </w:t>
      </w:r>
      <w:r w:rsidR="00DC360D" w:rsidRPr="00DF1530">
        <w:rPr>
          <w:lang w:val="ru-RU"/>
        </w:rPr>
        <w:t xml:space="preserve">Выборка по </w:t>
      </w:r>
      <w:r w:rsidR="004F360C" w:rsidRPr="00DF1530">
        <w:rPr>
          <w:lang w:val="ru-RU" w:eastAsia="en-GB"/>
        </w:rPr>
        <w:t>Российск</w:t>
      </w:r>
      <w:r w:rsidR="00DC360D" w:rsidRPr="00DF1530">
        <w:rPr>
          <w:lang w:val="ru-RU" w:eastAsia="en-GB"/>
        </w:rPr>
        <w:t>ой</w:t>
      </w:r>
      <w:r w:rsidR="005E53F2" w:rsidRPr="00DF1530">
        <w:rPr>
          <w:lang w:val="ru-RU" w:eastAsia="en-GB"/>
        </w:rPr>
        <w:t xml:space="preserve"> Федераци</w:t>
      </w:r>
      <w:r w:rsidR="00DC360D" w:rsidRPr="00DF1530">
        <w:rPr>
          <w:lang w:val="ru-RU" w:eastAsia="en-GB"/>
        </w:rPr>
        <w:t>и</w:t>
      </w:r>
      <w:r w:rsidR="008C7A93" w:rsidRPr="00DF1530">
        <w:rPr>
          <w:lang w:val="ru-RU" w:eastAsia="en-GB"/>
        </w:rPr>
        <w:t xml:space="preserve"> </w:t>
      </w:r>
      <w:r w:rsidR="00DC360D" w:rsidRPr="00DF1530">
        <w:rPr>
          <w:lang w:val="ru-RU" w:eastAsia="en-GB"/>
        </w:rPr>
        <w:t>не включает население московской муниципальной области</w:t>
      </w:r>
      <w:r w:rsidR="008C7A93" w:rsidRPr="00DF1530">
        <w:rPr>
          <w:lang w:val="ru-RU" w:eastAsia="en-GB"/>
        </w:rPr>
        <w:t xml:space="preserve">. </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5E53F2" w:rsidRPr="00DF1530">
        <w:rPr>
          <w:lang w:val="ru-RU"/>
        </w:rPr>
        <w:t>ОЭСР</w:t>
      </w:r>
      <w:r w:rsidR="008C7A93" w:rsidRPr="00BA51F1">
        <w:rPr>
          <w:lang w:val="en-US"/>
        </w:rPr>
        <w:t xml:space="preserve"> (2014c) Education at a Glance 2014 Highlights</w:t>
      </w:r>
    </w:p>
    <w:p w:rsidR="008C7A93" w:rsidRPr="00DF1530" w:rsidRDefault="00C6345A" w:rsidP="008C7A93">
      <w:pPr>
        <w:pStyle w:val="31"/>
        <w:rPr>
          <w:lang w:val="ru-RU"/>
        </w:rPr>
      </w:pPr>
      <w:r w:rsidRPr="00C6345A">
        <w:rPr>
          <w:lang w:val="ru-RU"/>
        </w:rPr>
        <w:t>Технические инфраструктурные ограничения</w:t>
      </w:r>
      <w:r w:rsidR="0014457B"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16550" w:rsidRPr="00DF1530">
        <w:rPr>
          <w:lang w:val="ru-RU"/>
        </w:rPr>
        <w:t xml:space="preserve">Развитие российских </w:t>
      </w:r>
      <w:r w:rsidR="00F736B7" w:rsidRPr="00DF1530">
        <w:rPr>
          <w:lang w:val="ru-RU"/>
        </w:rPr>
        <w:t>МСП</w:t>
      </w:r>
      <w:r w:rsidR="008C7A93" w:rsidRPr="00DF1530">
        <w:rPr>
          <w:lang w:val="ru-RU"/>
        </w:rPr>
        <w:t xml:space="preserve"> </w:t>
      </w:r>
      <w:r w:rsidR="00516550" w:rsidRPr="00DF1530">
        <w:rPr>
          <w:lang w:val="ru-RU"/>
        </w:rPr>
        <w:t xml:space="preserve">сдерживается некоторыми </w:t>
      </w:r>
      <w:r w:rsidR="00834072" w:rsidRPr="00DF1530">
        <w:rPr>
          <w:lang w:val="ru-RU"/>
        </w:rPr>
        <w:t>значительны</w:t>
      </w:r>
      <w:r w:rsidR="00516550" w:rsidRPr="00DF1530">
        <w:rPr>
          <w:lang w:val="ru-RU"/>
        </w:rPr>
        <w:t>ми</w:t>
      </w:r>
      <w:r w:rsidR="008C7A93" w:rsidRPr="00DF1530">
        <w:rPr>
          <w:lang w:val="ru-RU"/>
        </w:rPr>
        <w:t xml:space="preserve"> </w:t>
      </w:r>
      <w:r w:rsidR="00516550" w:rsidRPr="00DF1530">
        <w:rPr>
          <w:lang w:val="ru-RU"/>
        </w:rPr>
        <w:t>недостатками материальной инфраструктуры в областях водоснабжения, энергоснабжения и транспорта</w:t>
      </w:r>
      <w:r w:rsidR="008C7A93" w:rsidRPr="00DF1530">
        <w:rPr>
          <w:lang w:val="ru-RU"/>
        </w:rPr>
        <w:t xml:space="preserve">. </w:t>
      </w:r>
      <w:r w:rsidR="00F736B7" w:rsidRPr="00DF1530">
        <w:rPr>
          <w:lang w:val="ru-RU"/>
        </w:rPr>
        <w:t>Хотя</w:t>
      </w:r>
      <w:r w:rsidR="008C7A93" w:rsidRPr="00DF1530">
        <w:rPr>
          <w:lang w:val="ru-RU"/>
        </w:rPr>
        <w:t xml:space="preserve"> </w:t>
      </w:r>
      <w:r w:rsidR="00516550" w:rsidRPr="00DF1530">
        <w:rPr>
          <w:lang w:val="ru-RU"/>
        </w:rPr>
        <w:t xml:space="preserve">количество случаев прекращения подачи электроэнергии и нехватки воды невелико, и этот вопрос стоит в </w:t>
      </w:r>
      <w:r w:rsidR="00834072" w:rsidRPr="00DF1530">
        <w:rPr>
          <w:lang w:val="ru-RU"/>
        </w:rPr>
        <w:t>Российской Федерации</w:t>
      </w:r>
      <w:r w:rsidR="008C7A93" w:rsidRPr="00DF1530">
        <w:rPr>
          <w:lang w:val="ru-RU"/>
        </w:rPr>
        <w:t xml:space="preserve"> </w:t>
      </w:r>
      <w:r w:rsidR="00516550" w:rsidRPr="00DF1530">
        <w:rPr>
          <w:lang w:val="ru-RU"/>
        </w:rPr>
        <w:t xml:space="preserve">гораздо менее остро, чем в других странах </w:t>
      </w:r>
      <w:r w:rsidR="008C7A93" w:rsidRPr="00DF1530">
        <w:rPr>
          <w:lang w:val="ru-RU"/>
        </w:rPr>
        <w:t xml:space="preserve">ECA, </w:t>
      </w:r>
      <w:r w:rsidR="00F736B7" w:rsidRPr="00DF1530">
        <w:rPr>
          <w:lang w:val="ru-RU"/>
        </w:rPr>
        <w:t>МСП</w:t>
      </w:r>
      <w:r w:rsidR="008C7A93" w:rsidRPr="00DF1530">
        <w:rPr>
          <w:lang w:val="ru-RU"/>
        </w:rPr>
        <w:t xml:space="preserve"> </w:t>
      </w:r>
      <w:r w:rsidR="00516550" w:rsidRPr="00DF1530">
        <w:rPr>
          <w:lang w:val="ru-RU"/>
        </w:rPr>
        <w:t xml:space="preserve">все еще теряют продажи </w:t>
      </w:r>
      <w:r w:rsidR="00BA3D0F" w:rsidRPr="00DF1530">
        <w:rPr>
          <w:lang w:val="ru-RU"/>
        </w:rPr>
        <w:t>в результате</w:t>
      </w:r>
      <w:r w:rsidR="008C7A93" w:rsidRPr="00DF1530">
        <w:rPr>
          <w:lang w:val="ru-RU"/>
        </w:rPr>
        <w:t xml:space="preserve"> </w:t>
      </w:r>
      <w:r w:rsidR="00516550" w:rsidRPr="00DF1530">
        <w:rPr>
          <w:lang w:val="ru-RU"/>
        </w:rPr>
        <w:t>прекращения подачи электроэнергии</w:t>
      </w:r>
      <w:r w:rsidR="008C7A93" w:rsidRPr="00DF1530">
        <w:rPr>
          <w:lang w:val="ru-RU"/>
        </w:rPr>
        <w:t xml:space="preserve">, </w:t>
      </w:r>
      <w:r w:rsidR="00DE15F3" w:rsidRPr="00DF1530">
        <w:rPr>
          <w:lang w:val="ru-RU"/>
        </w:rPr>
        <w:t xml:space="preserve">а количество случаев нехватки воды возросло с </w:t>
      </w:r>
      <w:r w:rsidR="008C7A93" w:rsidRPr="00DF1530">
        <w:rPr>
          <w:lang w:val="ru-RU"/>
        </w:rPr>
        <w:t>2009</w:t>
      </w:r>
      <w:r w:rsidR="00DE15F3" w:rsidRPr="00DF1530">
        <w:rPr>
          <w:lang w:val="ru-RU"/>
        </w:rPr>
        <w:t xml:space="preserve"> года</w:t>
      </w:r>
      <w:r w:rsidR="008C7A93" w:rsidRPr="00DF1530">
        <w:rPr>
          <w:lang w:val="ru-RU"/>
        </w:rPr>
        <w:t xml:space="preserve">. </w:t>
      </w:r>
      <w:r w:rsidR="00DE15F3" w:rsidRPr="00DF1530">
        <w:rPr>
          <w:lang w:val="ru-RU"/>
        </w:rPr>
        <w:t>Недостатки транспортной инфраструктуры включают перегруженность городских дорог</w:t>
      </w:r>
      <w:r w:rsidR="008C7A93" w:rsidRPr="00DF1530">
        <w:rPr>
          <w:lang w:val="ru-RU"/>
        </w:rPr>
        <w:t xml:space="preserve">, </w:t>
      </w:r>
      <w:r w:rsidR="00DE15F3" w:rsidRPr="00DF1530">
        <w:rPr>
          <w:lang w:val="ru-RU"/>
        </w:rPr>
        <w:t>плохие связи между морскими портами для перевозки грузов разными видами транспорта</w:t>
      </w:r>
      <w:r w:rsidR="008C7A93" w:rsidRPr="00DF1530">
        <w:rPr>
          <w:lang w:val="ru-RU"/>
        </w:rPr>
        <w:t xml:space="preserve">, </w:t>
      </w:r>
      <w:r w:rsidR="00DE15F3" w:rsidRPr="00DF1530">
        <w:rPr>
          <w:lang w:val="ru-RU"/>
        </w:rPr>
        <w:t>медленную и дорогостоящую перевозку грузов по железной дороге и недостаточное развитие дорожной сети</w:t>
      </w:r>
      <w:r w:rsidR="008C7A93" w:rsidRPr="00DF1530">
        <w:rPr>
          <w:lang w:val="ru-RU"/>
        </w:rPr>
        <w:t xml:space="preserve">. </w:t>
      </w:r>
    </w:p>
    <w:p w:rsidR="008C7A93" w:rsidRPr="00DF1530" w:rsidRDefault="00472932" w:rsidP="008C7A93">
      <w:pPr>
        <w:pStyle w:val="31"/>
        <w:rPr>
          <w:lang w:val="ru-RU"/>
        </w:rPr>
      </w:pPr>
      <w:r w:rsidRPr="00DF1530">
        <w:rPr>
          <w:lang w:val="ru-RU"/>
        </w:rPr>
        <w:t>Недостаточная коммерциализация</w:t>
      </w:r>
      <w:r w:rsidR="008C7A93" w:rsidRPr="00DF1530">
        <w:rPr>
          <w:lang w:val="ru-RU"/>
        </w:rPr>
        <w:t xml:space="preserve"> </w:t>
      </w:r>
      <w:r w:rsidRPr="00DF1530">
        <w:rPr>
          <w:lang w:val="ru-RU"/>
        </w:rPr>
        <w:t>в системе инноваций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Российская</w:t>
      </w:r>
      <w:r w:rsidR="005E53F2" w:rsidRPr="00DF1530">
        <w:rPr>
          <w:lang w:val="ru-RU"/>
        </w:rPr>
        <w:t xml:space="preserve"> Федерация</w:t>
      </w:r>
      <w:r w:rsidR="008C7A93" w:rsidRPr="00DF1530">
        <w:rPr>
          <w:lang w:val="ru-RU"/>
        </w:rPr>
        <w:t xml:space="preserve"> </w:t>
      </w:r>
      <w:r w:rsidR="00B11981" w:rsidRPr="00DF1530">
        <w:rPr>
          <w:lang w:val="ru-RU"/>
        </w:rPr>
        <w:t>добилась известных успехов в ряде отраслей науки и техники</w:t>
      </w:r>
      <w:r w:rsidR="008C7A93" w:rsidRPr="00DF1530">
        <w:rPr>
          <w:lang w:val="ru-RU"/>
        </w:rPr>
        <w:t xml:space="preserve">, </w:t>
      </w:r>
      <w:r w:rsidR="00B11981" w:rsidRPr="00DF1530">
        <w:rPr>
          <w:lang w:val="ru-RU"/>
        </w:rPr>
        <w:t xml:space="preserve">что отражает высокий образовательный уровень и традиции научно-исследовательской </w:t>
      </w:r>
      <w:r w:rsidR="00661BF1" w:rsidRPr="00DF1530">
        <w:rPr>
          <w:lang w:val="ru-RU"/>
        </w:rPr>
        <w:t xml:space="preserve">деятельности </w:t>
      </w:r>
      <w:r w:rsidR="00B11981" w:rsidRPr="00DF1530">
        <w:rPr>
          <w:lang w:val="ru-RU"/>
        </w:rPr>
        <w:t>в этих областях</w:t>
      </w:r>
      <w:r w:rsidR="008C7A93" w:rsidRPr="00DF1530">
        <w:rPr>
          <w:lang w:val="ru-RU"/>
        </w:rPr>
        <w:t xml:space="preserve">. </w:t>
      </w:r>
      <w:r w:rsidR="00B11981" w:rsidRPr="00DF1530">
        <w:rPr>
          <w:lang w:val="ru-RU"/>
        </w:rPr>
        <w:t xml:space="preserve">Она </w:t>
      </w:r>
      <w:r w:rsidR="00592D7B" w:rsidRPr="00DF1530">
        <w:rPr>
          <w:lang w:val="ru-RU"/>
        </w:rPr>
        <w:t>также</w:t>
      </w:r>
      <w:r w:rsidR="008C7A93" w:rsidRPr="00DF1530">
        <w:rPr>
          <w:lang w:val="ru-RU"/>
        </w:rPr>
        <w:t xml:space="preserve"> </w:t>
      </w:r>
      <w:r w:rsidR="00B11981" w:rsidRPr="00DF1530">
        <w:rPr>
          <w:lang w:val="ru-RU"/>
        </w:rPr>
        <w:t xml:space="preserve">достигла хороших </w:t>
      </w:r>
      <w:r w:rsidR="00834072" w:rsidRPr="00DF1530">
        <w:rPr>
          <w:lang w:val="ru-RU"/>
        </w:rPr>
        <w:t>по международным стандартам</w:t>
      </w:r>
      <w:r w:rsidR="008C7A93" w:rsidRPr="00DF1530">
        <w:rPr>
          <w:lang w:val="ru-RU"/>
        </w:rPr>
        <w:t xml:space="preserve"> </w:t>
      </w:r>
      <w:r w:rsidR="00B11981" w:rsidRPr="00DF1530">
        <w:rPr>
          <w:lang w:val="ru-RU"/>
        </w:rPr>
        <w:t xml:space="preserve">показателей по некоторым ключевым </w:t>
      </w:r>
      <w:r w:rsidR="00D3769A" w:rsidRPr="00DF1530">
        <w:rPr>
          <w:lang w:val="ru-RU"/>
        </w:rPr>
        <w:t>инноваци</w:t>
      </w:r>
      <w:r w:rsidR="00B11981" w:rsidRPr="00DF1530">
        <w:rPr>
          <w:lang w:val="ru-RU"/>
        </w:rPr>
        <w:t xml:space="preserve">онным характеристикам, таким, как </w:t>
      </w:r>
      <w:r w:rsidR="00B7017E" w:rsidRPr="00DF1530">
        <w:rPr>
          <w:lang w:val="ru-RU"/>
        </w:rPr>
        <w:t>процент населения с ученой степенью и процент НИОКР,</w:t>
      </w:r>
      <w:r w:rsidR="008C7A93" w:rsidRPr="00DF1530">
        <w:rPr>
          <w:lang w:val="ru-RU"/>
        </w:rPr>
        <w:t xml:space="preserve"> </w:t>
      </w:r>
      <w:r w:rsidR="00B7017E" w:rsidRPr="00DF1530">
        <w:rPr>
          <w:lang w:val="ru-RU"/>
        </w:rPr>
        <w:t xml:space="preserve">финансируемых </w:t>
      </w:r>
      <w:r w:rsidR="00297F6F" w:rsidRPr="00DF1530">
        <w:rPr>
          <w:lang w:val="ru-RU"/>
        </w:rPr>
        <w:t>предприятия</w:t>
      </w:r>
      <w:r w:rsidR="00B7017E" w:rsidRPr="00DF1530">
        <w:rPr>
          <w:lang w:val="ru-RU"/>
        </w:rPr>
        <w:t>ми</w:t>
      </w:r>
      <w:r w:rsidR="008C7A93" w:rsidRPr="00DF1530">
        <w:rPr>
          <w:lang w:val="ru-RU"/>
        </w:rPr>
        <w:t xml:space="preserve">. </w:t>
      </w:r>
      <w:r w:rsidR="007C68D2" w:rsidRPr="00DF1530">
        <w:rPr>
          <w:lang w:val="ru-RU"/>
        </w:rPr>
        <w:t>Однако</w:t>
      </w:r>
      <w:r w:rsidR="008C7A93" w:rsidRPr="00DF1530">
        <w:rPr>
          <w:lang w:val="ru-RU"/>
        </w:rPr>
        <w:t xml:space="preserve"> </w:t>
      </w:r>
      <w:r w:rsidR="00B7017E" w:rsidRPr="00DF1530">
        <w:rPr>
          <w:lang w:val="ru-RU"/>
        </w:rPr>
        <w:t>уровень</w:t>
      </w:r>
      <w:r w:rsidR="008C7A93" w:rsidRPr="00DF1530">
        <w:rPr>
          <w:lang w:val="ru-RU"/>
        </w:rPr>
        <w:t xml:space="preserve"> </w:t>
      </w:r>
      <w:r w:rsidR="00B7017E" w:rsidRPr="00DF1530">
        <w:rPr>
          <w:lang w:val="ru-RU"/>
        </w:rPr>
        <w:t>инвестиций в</w:t>
      </w:r>
      <w:r w:rsidR="008C7A93" w:rsidRPr="00DF1530">
        <w:rPr>
          <w:lang w:val="ru-RU"/>
        </w:rPr>
        <w:t xml:space="preserve"> </w:t>
      </w:r>
      <w:r w:rsidR="00D3769A" w:rsidRPr="00DF1530">
        <w:rPr>
          <w:lang w:val="ru-RU"/>
        </w:rPr>
        <w:t>инновации</w:t>
      </w:r>
      <w:r w:rsidR="008C7A93" w:rsidRPr="00DF1530">
        <w:rPr>
          <w:lang w:val="ru-RU"/>
        </w:rPr>
        <w:t xml:space="preserve"> </w:t>
      </w:r>
      <w:r w:rsidR="00B7017E" w:rsidRPr="00DF1530">
        <w:rPr>
          <w:lang w:val="ru-RU"/>
        </w:rPr>
        <w:t>в целом</w:t>
      </w:r>
      <w:r w:rsidR="008C7A93" w:rsidRPr="00DF1530">
        <w:rPr>
          <w:lang w:val="ru-RU"/>
        </w:rPr>
        <w:t xml:space="preserve"> </w:t>
      </w:r>
      <w:r w:rsidR="00B7017E" w:rsidRPr="00DF1530">
        <w:rPr>
          <w:lang w:val="ru-RU"/>
        </w:rPr>
        <w:t>достаточно низкий</w:t>
      </w:r>
      <w:r w:rsidR="008C7A93" w:rsidRPr="00DF1530">
        <w:rPr>
          <w:lang w:val="ru-RU"/>
        </w:rPr>
        <w:t xml:space="preserve">. </w:t>
      </w:r>
      <w:r w:rsidR="00B7017E" w:rsidRPr="00DF1530">
        <w:rPr>
          <w:lang w:val="ru-RU"/>
        </w:rPr>
        <w:t xml:space="preserve">Как показано на </w:t>
      </w:r>
      <w:r w:rsidR="00592D7B" w:rsidRPr="00DF1530">
        <w:rPr>
          <w:lang w:val="ru-RU"/>
        </w:rPr>
        <w:t>Рисунк</w:t>
      </w:r>
      <w:r w:rsidR="00B7017E" w:rsidRPr="00DF1530">
        <w:rPr>
          <w:lang w:val="ru-RU"/>
        </w:rPr>
        <w:t>е</w:t>
      </w:r>
      <w:r w:rsidR="008C7A93" w:rsidRPr="00DF1530">
        <w:rPr>
          <w:lang w:val="ru-RU"/>
        </w:rPr>
        <w:t xml:space="preserve"> 1.11, </w:t>
      </w:r>
      <w:r w:rsidR="00B7017E" w:rsidRPr="00DF1530">
        <w:rPr>
          <w:lang w:val="ru-RU"/>
        </w:rPr>
        <w:t>валовые внутренние расходы на НИОКР</w:t>
      </w:r>
      <w:r w:rsidR="008C7A93" w:rsidRPr="00DF1530">
        <w:rPr>
          <w:lang w:val="ru-RU"/>
        </w:rPr>
        <w:t xml:space="preserve"> </w:t>
      </w:r>
      <w:r w:rsidR="00B7017E" w:rsidRPr="00DF1530">
        <w:rPr>
          <w:lang w:val="ru-RU"/>
        </w:rPr>
        <w:t xml:space="preserve">составляли в 2012 году </w:t>
      </w:r>
      <w:r w:rsidR="00976BC2" w:rsidRPr="00DF1530">
        <w:rPr>
          <w:lang w:val="ru-RU"/>
        </w:rPr>
        <w:t>приблизительно</w:t>
      </w:r>
      <w:r w:rsidR="008C7A93" w:rsidRPr="00DF1530">
        <w:rPr>
          <w:lang w:val="ru-RU"/>
        </w:rPr>
        <w:t xml:space="preserve"> 1</w:t>
      </w:r>
      <w:r w:rsidR="00B7017E" w:rsidRPr="00DF1530">
        <w:rPr>
          <w:lang w:val="ru-RU"/>
        </w:rPr>
        <w:t>,</w:t>
      </w:r>
      <w:r w:rsidR="008C7A93" w:rsidRPr="00DF1530">
        <w:rPr>
          <w:lang w:val="ru-RU"/>
        </w:rPr>
        <w:t xml:space="preserve">1% </w:t>
      </w:r>
      <w:r w:rsidR="00592D7B" w:rsidRPr="00DF1530">
        <w:rPr>
          <w:lang w:val="ru-RU"/>
        </w:rPr>
        <w:t>ВВП</w:t>
      </w:r>
      <w:r w:rsidR="008C7A93" w:rsidRPr="00DF1530">
        <w:rPr>
          <w:lang w:val="ru-RU"/>
        </w:rPr>
        <w:t xml:space="preserve"> </w:t>
      </w:r>
      <w:r w:rsidR="00B7017E" w:rsidRPr="00DF1530">
        <w:rPr>
          <w:lang w:val="ru-RU"/>
        </w:rPr>
        <w:t xml:space="preserve">– значительно ниже среднего по </w:t>
      </w:r>
      <w:r w:rsidR="005E53F2" w:rsidRPr="00DF1530">
        <w:rPr>
          <w:lang w:val="ru-RU"/>
        </w:rPr>
        <w:t>ОЭСР</w:t>
      </w:r>
      <w:r w:rsidR="008C7A93" w:rsidRPr="00DF1530">
        <w:rPr>
          <w:lang w:val="ru-RU"/>
        </w:rPr>
        <w:t xml:space="preserve"> </w:t>
      </w:r>
      <w:r w:rsidR="00B7017E" w:rsidRPr="00DF1530">
        <w:rPr>
          <w:lang w:val="ru-RU"/>
        </w:rPr>
        <w:t xml:space="preserve">показателя, равного </w:t>
      </w:r>
      <w:r w:rsidR="00976BC2" w:rsidRPr="00DF1530">
        <w:rPr>
          <w:lang w:val="ru-RU"/>
        </w:rPr>
        <w:t>приблизительно</w:t>
      </w:r>
      <w:r w:rsidR="008C7A93" w:rsidRPr="00DF1530">
        <w:rPr>
          <w:lang w:val="ru-RU"/>
        </w:rPr>
        <w:t xml:space="preserve"> 2</w:t>
      </w:r>
      <w:r w:rsidR="00B7017E" w:rsidRPr="00DF1530">
        <w:rPr>
          <w:lang w:val="ru-RU"/>
        </w:rPr>
        <w:t>,</w:t>
      </w:r>
      <w:r w:rsidR="008C7A93" w:rsidRPr="00DF1530">
        <w:rPr>
          <w:lang w:val="ru-RU"/>
        </w:rPr>
        <w:t xml:space="preserve">4%. </w:t>
      </w:r>
      <w:r w:rsidR="003F13A5" w:rsidRPr="00DF1530">
        <w:rPr>
          <w:lang w:val="ru-RU"/>
        </w:rPr>
        <w:t>Кроме того</w:t>
      </w:r>
      <w:r w:rsidR="008C7A93" w:rsidRPr="00DF1530">
        <w:rPr>
          <w:lang w:val="ru-RU"/>
        </w:rPr>
        <w:t xml:space="preserve">, </w:t>
      </w:r>
      <w:r w:rsidR="00B7017E" w:rsidRPr="00DF1530">
        <w:rPr>
          <w:lang w:val="ru-RU"/>
        </w:rPr>
        <w:t>на расходы частного сектора на НИОКР</w:t>
      </w:r>
      <w:r w:rsidR="008C7A93" w:rsidRPr="00DF1530">
        <w:rPr>
          <w:lang w:val="ru-RU"/>
        </w:rPr>
        <w:t xml:space="preserve"> </w:t>
      </w:r>
      <w:r w:rsidR="00B7017E" w:rsidRPr="00DF1530">
        <w:rPr>
          <w:lang w:val="ru-RU"/>
        </w:rPr>
        <w:t xml:space="preserve">приходится </w:t>
      </w:r>
      <w:r w:rsidR="0047268B" w:rsidRPr="00DF1530">
        <w:rPr>
          <w:lang w:val="ru-RU"/>
        </w:rPr>
        <w:t>только</w:t>
      </w:r>
      <w:r w:rsidR="008C7A93" w:rsidRPr="00DF1530">
        <w:rPr>
          <w:lang w:val="ru-RU"/>
        </w:rPr>
        <w:t xml:space="preserve"> 27</w:t>
      </w:r>
      <w:r w:rsidR="00B7017E" w:rsidRPr="00DF1530">
        <w:rPr>
          <w:lang w:val="ru-RU"/>
        </w:rPr>
        <w:t>,</w:t>
      </w:r>
      <w:r w:rsidR="008C7A93" w:rsidRPr="00DF1530">
        <w:rPr>
          <w:lang w:val="ru-RU"/>
        </w:rPr>
        <w:t xml:space="preserve">7% </w:t>
      </w:r>
      <w:r w:rsidR="00B7017E" w:rsidRPr="00DF1530">
        <w:rPr>
          <w:lang w:val="ru-RU"/>
        </w:rPr>
        <w:t>всех расходов на НИОКР</w:t>
      </w:r>
      <w:r w:rsidR="008C7A93" w:rsidRPr="00DF1530">
        <w:rPr>
          <w:lang w:val="ru-RU"/>
        </w:rPr>
        <w:t xml:space="preserve">, </w:t>
      </w:r>
      <w:r w:rsidR="00B7017E" w:rsidRPr="00DF1530">
        <w:rPr>
          <w:lang w:val="ru-RU"/>
        </w:rPr>
        <w:t xml:space="preserve">что значительно ниже среднего по ОЭСР показателя </w:t>
      </w:r>
      <w:r w:rsidR="008C7A93" w:rsidRPr="00DF1530">
        <w:rPr>
          <w:lang w:val="ru-RU"/>
        </w:rPr>
        <w:t>59</w:t>
      </w:r>
      <w:r w:rsidR="00B7017E" w:rsidRPr="00DF1530">
        <w:rPr>
          <w:lang w:val="ru-RU"/>
        </w:rPr>
        <w:t>,</w:t>
      </w:r>
      <w:r w:rsidR="008C7A93" w:rsidRPr="00DF1530">
        <w:rPr>
          <w:lang w:val="ru-RU"/>
        </w:rPr>
        <w:t xml:space="preserve">9%. </w:t>
      </w:r>
      <w:r w:rsidR="00B7017E" w:rsidRPr="00DF1530">
        <w:rPr>
          <w:lang w:val="ru-RU"/>
        </w:rPr>
        <w:t>С</w:t>
      </w:r>
      <w:r w:rsidR="00834072" w:rsidRPr="00DF1530">
        <w:rPr>
          <w:lang w:val="ru-RU"/>
        </w:rPr>
        <w:t>равнительно</w:t>
      </w:r>
      <w:r w:rsidR="008C7A93" w:rsidRPr="00DF1530">
        <w:rPr>
          <w:lang w:val="ru-RU"/>
        </w:rPr>
        <w:t xml:space="preserve"> </w:t>
      </w:r>
      <w:r w:rsidR="00B7017E" w:rsidRPr="00DF1530">
        <w:rPr>
          <w:lang w:val="ru-RU"/>
        </w:rPr>
        <w:t>малое участие частного сектора в расходах на НИОКР</w:t>
      </w:r>
      <w:r w:rsidR="008C7A93" w:rsidRPr="00DF1530">
        <w:rPr>
          <w:lang w:val="ru-RU"/>
        </w:rPr>
        <w:t xml:space="preserve"> </w:t>
      </w:r>
      <w:r w:rsidR="00661BF1" w:rsidRPr="00DF1530">
        <w:rPr>
          <w:lang w:val="ru-RU"/>
        </w:rPr>
        <w:t>показательно</w:t>
      </w:r>
      <w:r w:rsidR="00B7017E" w:rsidRPr="00DF1530">
        <w:rPr>
          <w:lang w:val="ru-RU"/>
        </w:rPr>
        <w:t xml:space="preserve">, поскольку говорит о проблеме с </w:t>
      </w:r>
      <w:r w:rsidR="00472932" w:rsidRPr="00DF1530">
        <w:rPr>
          <w:lang w:val="ru-RU"/>
        </w:rPr>
        <w:t>коммерциализаци</w:t>
      </w:r>
      <w:r w:rsidR="00B7017E" w:rsidRPr="00DF1530">
        <w:rPr>
          <w:lang w:val="ru-RU"/>
        </w:rPr>
        <w:t>ей</w:t>
      </w:r>
      <w:r w:rsidR="008C7A93" w:rsidRPr="00DF1530">
        <w:rPr>
          <w:lang w:val="ru-RU"/>
        </w:rPr>
        <w:t xml:space="preserve"> </w:t>
      </w:r>
      <w:r w:rsidR="00B7017E" w:rsidRPr="00DF1530">
        <w:rPr>
          <w:lang w:val="ru-RU"/>
        </w:rPr>
        <w:t>исследований</w:t>
      </w:r>
      <w:r w:rsidR="008C7A93" w:rsidRPr="00DF1530">
        <w:rPr>
          <w:lang w:val="ru-RU"/>
        </w:rPr>
        <w:t xml:space="preserve">, </w:t>
      </w:r>
      <w:r w:rsidR="00B7017E" w:rsidRPr="00DF1530">
        <w:rPr>
          <w:lang w:val="ru-RU"/>
        </w:rPr>
        <w:t xml:space="preserve">что подтверждается данными исследования, проведенного </w:t>
      </w:r>
      <w:r w:rsidR="009F435E" w:rsidRPr="00DF1530">
        <w:rPr>
          <w:lang w:val="ru-RU"/>
        </w:rPr>
        <w:lastRenderedPageBreak/>
        <w:t xml:space="preserve">организацией «ОПОРА России» </w:t>
      </w:r>
      <w:r w:rsidR="00B7017E" w:rsidRPr="00DF1530">
        <w:rPr>
          <w:lang w:val="ru-RU"/>
        </w:rPr>
        <w:t xml:space="preserve">и показавшего, что меньше </w:t>
      </w:r>
      <w:r w:rsidR="008C7A93" w:rsidRPr="00DF1530">
        <w:rPr>
          <w:lang w:val="ru-RU"/>
        </w:rPr>
        <w:t xml:space="preserve">4% </w:t>
      </w:r>
      <w:r w:rsidR="00B7017E" w:rsidRPr="00DF1530">
        <w:rPr>
          <w:lang w:val="ru-RU"/>
        </w:rPr>
        <w:t xml:space="preserve">российских ученых и исследователей, работающих в бюджетной сфере, имеют успешный опыт </w:t>
      </w:r>
      <w:r w:rsidR="00472932" w:rsidRPr="00DF1530">
        <w:rPr>
          <w:lang w:val="ru-RU"/>
        </w:rPr>
        <w:t>коммерциализаци</w:t>
      </w:r>
      <w:r w:rsidR="00B7017E" w:rsidRPr="00DF1530">
        <w:rPr>
          <w:lang w:val="ru-RU"/>
        </w:rPr>
        <w:t>и</w:t>
      </w:r>
      <w:r w:rsidR="008C7A93" w:rsidRPr="00DF1530">
        <w:rPr>
          <w:lang w:val="ru-RU"/>
        </w:rPr>
        <w:t>.</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1.11.</w:t>
      </w:r>
      <w:r w:rsidR="008C7A93" w:rsidRPr="00DF1530">
        <w:rPr>
          <w:lang w:val="ru-RU"/>
        </w:rPr>
        <w:tab/>
      </w:r>
      <w:r w:rsidR="00C05162" w:rsidRPr="00DF1530">
        <w:rPr>
          <w:lang w:val="ru-RU"/>
        </w:rPr>
        <w:t xml:space="preserve"> Расходы на </w:t>
      </w:r>
      <w:r w:rsidR="00B7017E" w:rsidRPr="00DF1530">
        <w:rPr>
          <w:lang w:val="ru-RU"/>
        </w:rPr>
        <w:t>НИОКР</w:t>
      </w:r>
      <w:r w:rsidR="008C7A93" w:rsidRPr="00DF1530">
        <w:rPr>
          <w:lang w:val="ru-RU"/>
        </w:rPr>
        <w:t xml:space="preserve"> </w:t>
      </w:r>
      <w:r w:rsidR="00834072" w:rsidRPr="00DF1530">
        <w:rPr>
          <w:lang w:val="ru-RU"/>
        </w:rPr>
        <w:t>в Российской Федерации</w:t>
      </w:r>
      <w:r w:rsidR="009030BD" w:rsidRPr="00DF1530">
        <w:rPr>
          <w:lang w:val="ru-RU"/>
        </w:rPr>
        <w:fldChar w:fldCharType="begin"/>
      </w:r>
      <w:r w:rsidR="008C7A93" w:rsidRPr="00DF1530">
        <w:rPr>
          <w:lang w:val="ru-RU"/>
        </w:rPr>
        <w:instrText xml:space="preserve"> TC \f t \l 2 "Figure 1.11.</w:instrText>
      </w:r>
      <w:r w:rsidR="008C7A93" w:rsidRPr="00DF1530">
        <w:rPr>
          <w:lang w:val="ru-RU"/>
        </w:rPr>
        <w:tab/>
        <w:instrText xml:space="preserve">R&amp;D expenditure in the Russian Federation"  </w:instrText>
      </w:r>
      <w:r w:rsidR="009030BD" w:rsidRPr="00DF1530">
        <w:rPr>
          <w:lang w:val="ru-RU"/>
        </w:rPr>
        <w:fldChar w:fldCharType="end"/>
      </w:r>
    </w:p>
    <w:tbl>
      <w:tblPr>
        <w:tblStyle w:val="af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630"/>
      </w:tblGrid>
      <w:tr w:rsidR="008C7A93" w:rsidRPr="00953748" w:rsidTr="005E53F2">
        <w:tc>
          <w:tcPr>
            <w:tcW w:w="4836" w:type="dxa"/>
            <w:vAlign w:val="center"/>
          </w:tcPr>
          <w:p w:rsidR="008C7A93" w:rsidRPr="00DF1530" w:rsidRDefault="00D314F0" w:rsidP="00D314F0">
            <w:pPr>
              <w:pStyle w:val="FigureSub-title"/>
              <w:jc w:val="left"/>
              <w:rPr>
                <w:b/>
                <w:bCs/>
                <w:lang w:val="ru-RU"/>
              </w:rPr>
            </w:pPr>
            <w:r w:rsidRPr="00DF1530">
              <w:rPr>
                <w:b/>
                <w:bCs/>
                <w:lang w:val="ru-RU"/>
              </w:rPr>
              <w:t>Общие расходы</w:t>
            </w:r>
            <w:r w:rsidR="008C7A93" w:rsidRPr="00DF1530">
              <w:rPr>
                <w:b/>
                <w:bCs/>
                <w:lang w:val="ru-RU"/>
              </w:rPr>
              <w:t xml:space="preserve"> </w:t>
            </w:r>
            <w:r w:rsidRPr="00DF1530">
              <w:rPr>
                <w:b/>
                <w:bCs/>
                <w:lang w:val="ru-RU"/>
              </w:rPr>
              <w:t xml:space="preserve">на </w:t>
            </w:r>
            <w:r w:rsidR="00B7017E" w:rsidRPr="00DF1530">
              <w:rPr>
                <w:b/>
                <w:bCs/>
                <w:lang w:val="ru-RU"/>
              </w:rPr>
              <w:t>НИОКР</w:t>
            </w:r>
            <w:r w:rsidR="008C7A93" w:rsidRPr="00DF1530">
              <w:rPr>
                <w:b/>
                <w:bCs/>
                <w:lang w:val="ru-RU"/>
              </w:rPr>
              <w:t xml:space="preserve"> </w:t>
            </w:r>
            <w:r w:rsidRPr="00DF1530">
              <w:rPr>
                <w:b/>
                <w:bCs/>
                <w:lang w:val="ru-RU"/>
              </w:rPr>
              <w:t xml:space="preserve">в процентах от </w:t>
            </w:r>
            <w:r w:rsidR="00592D7B" w:rsidRPr="00DF1530">
              <w:rPr>
                <w:b/>
                <w:bCs/>
                <w:lang w:val="ru-RU"/>
              </w:rPr>
              <w:t>ВВП</w:t>
            </w:r>
          </w:p>
        </w:tc>
        <w:tc>
          <w:tcPr>
            <w:tcW w:w="4452" w:type="dxa"/>
            <w:vAlign w:val="center"/>
          </w:tcPr>
          <w:p w:rsidR="008C7A93" w:rsidRPr="00DF1530" w:rsidRDefault="00D314F0" w:rsidP="00D314F0">
            <w:pPr>
              <w:pStyle w:val="FigureSub-title"/>
              <w:jc w:val="left"/>
              <w:rPr>
                <w:b/>
                <w:bCs/>
                <w:lang w:val="ru-RU"/>
              </w:rPr>
            </w:pPr>
            <w:r w:rsidRPr="00DF1530">
              <w:rPr>
                <w:b/>
                <w:bCs/>
                <w:lang w:val="ru-RU"/>
              </w:rPr>
              <w:t>Процент общих расходов на</w:t>
            </w:r>
            <w:r w:rsidR="008C7A93" w:rsidRPr="00DF1530">
              <w:rPr>
                <w:b/>
                <w:bCs/>
                <w:lang w:val="ru-RU"/>
              </w:rPr>
              <w:t xml:space="preserve"> </w:t>
            </w:r>
            <w:r w:rsidR="00B7017E" w:rsidRPr="00DF1530">
              <w:rPr>
                <w:b/>
                <w:bCs/>
                <w:lang w:val="ru-RU"/>
              </w:rPr>
              <w:t>НИОКР</w:t>
            </w:r>
            <w:r w:rsidRPr="00DF1530">
              <w:rPr>
                <w:b/>
                <w:bCs/>
                <w:lang w:val="ru-RU"/>
              </w:rPr>
              <w:t>,</w:t>
            </w:r>
            <w:r w:rsidR="008C7A93" w:rsidRPr="00DF1530">
              <w:rPr>
                <w:b/>
                <w:bCs/>
                <w:lang w:val="ru-RU"/>
              </w:rPr>
              <w:t xml:space="preserve"> </w:t>
            </w:r>
            <w:r w:rsidRPr="00DF1530">
              <w:rPr>
                <w:b/>
                <w:bCs/>
                <w:lang w:val="ru-RU"/>
              </w:rPr>
              <w:t>финансируемый отраслью</w:t>
            </w:r>
          </w:p>
        </w:tc>
      </w:tr>
      <w:tr w:rsidR="008C7A93" w:rsidRPr="00DF1530" w:rsidTr="005E53F2">
        <w:tc>
          <w:tcPr>
            <w:tcW w:w="4836" w:type="dxa"/>
            <w:vAlign w:val="center"/>
          </w:tcPr>
          <w:p w:rsidR="008C7A93" w:rsidRPr="00DF1530" w:rsidRDefault="008C7A93" w:rsidP="005E53F2">
            <w:pPr>
              <w:pStyle w:val="FigureSub-title"/>
              <w:jc w:val="left"/>
              <w:rPr>
                <w:lang w:val="ru-RU"/>
              </w:rPr>
            </w:pPr>
            <w:r w:rsidRPr="00DF1530">
              <w:rPr>
                <w:noProof/>
                <w:lang w:val="ru-RU" w:eastAsia="ru-RU"/>
              </w:rPr>
              <w:drawing>
                <wp:inline distT="0" distB="0" distL="0" distR="0">
                  <wp:extent cx="2910177" cy="2743200"/>
                  <wp:effectExtent l="0" t="0" r="24130" b="19050"/>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452" w:type="dxa"/>
            <w:vAlign w:val="center"/>
          </w:tcPr>
          <w:p w:rsidR="008C7A93" w:rsidRPr="00DF1530" w:rsidRDefault="008C7A93" w:rsidP="005E53F2">
            <w:pPr>
              <w:pStyle w:val="FigureSub-title"/>
              <w:jc w:val="left"/>
              <w:rPr>
                <w:lang w:val="ru-RU"/>
              </w:rPr>
            </w:pPr>
            <w:r w:rsidRPr="00DF1530">
              <w:rPr>
                <w:noProof/>
                <w:lang w:val="ru-RU" w:eastAsia="ru-RU"/>
              </w:rPr>
              <w:drawing>
                <wp:inline distT="0" distB="0" distL="0" distR="0">
                  <wp:extent cx="2894275" cy="2743200"/>
                  <wp:effectExtent l="0" t="0" r="20955" b="19050"/>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D314F0" w:rsidRPr="00DF1530" w:rsidRDefault="00D314F0" w:rsidP="008C7A93">
      <w:pPr>
        <w:pStyle w:val="SourceDescription"/>
        <w:rPr>
          <w:lang w:val="ru-RU"/>
        </w:rPr>
      </w:pPr>
    </w:p>
    <w:p w:rsidR="00D314F0" w:rsidRPr="00DF1530" w:rsidRDefault="00D314F0" w:rsidP="008C7A93">
      <w:pPr>
        <w:pStyle w:val="SourceDescription"/>
        <w:rPr>
          <w:lang w:val="ru-RU"/>
        </w:rPr>
      </w:pPr>
      <w:r w:rsidRPr="00DF1530">
        <w:rPr>
          <w:lang w:val="ru-RU"/>
        </w:rPr>
        <w:t>Российская Федерация</w:t>
      </w:r>
      <w:r w:rsidRPr="00DF1530">
        <w:rPr>
          <w:lang w:val="ru-RU"/>
        </w:rPr>
        <w:tab/>
      </w:r>
      <w:r w:rsidRPr="00DF1530">
        <w:rPr>
          <w:lang w:val="ru-RU"/>
        </w:rPr>
        <w:tab/>
        <w:t>Средний показатель по ОЭСР</w:t>
      </w:r>
    </w:p>
    <w:p w:rsidR="00D314F0" w:rsidRPr="00DF1530" w:rsidRDefault="00D314F0" w:rsidP="00D314F0">
      <w:pPr>
        <w:pStyle w:val="SourceDescription"/>
        <w:rPr>
          <w:lang w:val="ru-RU"/>
        </w:rPr>
      </w:pPr>
      <w:r w:rsidRPr="00DF1530">
        <w:rPr>
          <w:lang w:val="ru-RU"/>
        </w:rPr>
        <w:t>Российская Федерация</w:t>
      </w:r>
      <w:r w:rsidRPr="00DF1530">
        <w:rPr>
          <w:lang w:val="ru-RU"/>
        </w:rPr>
        <w:tab/>
      </w:r>
      <w:r w:rsidRPr="00DF1530">
        <w:rPr>
          <w:lang w:val="ru-RU"/>
        </w:rPr>
        <w:tab/>
        <w:t>Средний показатель по ОЭСР</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proofErr w:type="gramStart"/>
      <w:r w:rsidR="00D314F0" w:rsidRPr="00BA51F1">
        <w:rPr>
          <w:lang w:val="en-US"/>
        </w:rPr>
        <w:t>OECD Main Science and Technology Indicators</w:t>
      </w:r>
      <w:r w:rsidR="008C7A93" w:rsidRPr="00BA51F1">
        <w:rPr>
          <w:lang w:val="en-US"/>
        </w:rPr>
        <w:t>.</w:t>
      </w:r>
      <w:proofErr w:type="gramEnd"/>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7225E" w:rsidRPr="00DF1530">
        <w:rPr>
          <w:lang w:val="ru-RU"/>
        </w:rPr>
        <w:t xml:space="preserve">Развитие </w:t>
      </w:r>
      <w:r w:rsidR="001A3FC6" w:rsidRPr="00DF1530">
        <w:rPr>
          <w:lang w:val="ru-RU"/>
        </w:rPr>
        <w:t xml:space="preserve">нацеленной на </w:t>
      </w:r>
      <w:r w:rsidR="0087225E" w:rsidRPr="00DF1530">
        <w:rPr>
          <w:lang w:val="ru-RU"/>
        </w:rPr>
        <w:t>предприяти</w:t>
      </w:r>
      <w:r w:rsidR="001A3FC6" w:rsidRPr="00DF1530">
        <w:rPr>
          <w:lang w:val="ru-RU"/>
        </w:rPr>
        <w:t>я</w:t>
      </w:r>
      <w:r w:rsidR="0087225E" w:rsidRPr="00DF1530">
        <w:rPr>
          <w:lang w:val="ru-RU"/>
        </w:rPr>
        <w:t xml:space="preserve"> и ориентированной на рынок </w:t>
      </w:r>
      <w:r w:rsidR="00D3769A" w:rsidRPr="00DF1530">
        <w:rPr>
          <w:lang w:val="ru-RU"/>
        </w:rPr>
        <w:t>инноваци</w:t>
      </w:r>
      <w:r w:rsidR="0087225E" w:rsidRPr="00DF1530">
        <w:rPr>
          <w:lang w:val="ru-RU"/>
        </w:rPr>
        <w:t>онной системы</w:t>
      </w:r>
      <w:r w:rsidR="008C7A93" w:rsidRPr="00DF1530">
        <w:rPr>
          <w:lang w:val="ru-RU"/>
        </w:rPr>
        <w:t xml:space="preserve"> </w:t>
      </w:r>
      <w:r w:rsidR="0087225E" w:rsidRPr="00DF1530">
        <w:rPr>
          <w:lang w:val="ru-RU"/>
        </w:rPr>
        <w:t xml:space="preserve">потребует более широких </w:t>
      </w:r>
      <w:r w:rsidR="00061B61" w:rsidRPr="00DF1530">
        <w:rPr>
          <w:lang w:val="ru-RU"/>
        </w:rPr>
        <w:t>мер</w:t>
      </w:r>
      <w:r w:rsidR="0087225E" w:rsidRPr="00DF1530">
        <w:rPr>
          <w:lang w:val="ru-RU"/>
        </w:rPr>
        <w:t xml:space="preserve"> по усилению деятельности по </w:t>
      </w:r>
      <w:r w:rsidR="00B7017E" w:rsidRPr="00DF1530">
        <w:rPr>
          <w:lang w:val="ru-RU"/>
        </w:rPr>
        <w:t>НИОКР</w:t>
      </w:r>
      <w:r w:rsidR="008C7A93" w:rsidRPr="00DF1530">
        <w:rPr>
          <w:lang w:val="ru-RU"/>
        </w:rPr>
        <w:t xml:space="preserve"> </w:t>
      </w:r>
      <w:r w:rsidR="0087225E" w:rsidRPr="00DF1530">
        <w:rPr>
          <w:lang w:val="ru-RU"/>
        </w:rPr>
        <w:t xml:space="preserve">и </w:t>
      </w:r>
      <w:r w:rsidR="00D3769A" w:rsidRPr="00DF1530">
        <w:rPr>
          <w:lang w:val="ru-RU"/>
        </w:rPr>
        <w:t>инноваци</w:t>
      </w:r>
      <w:r w:rsidR="0087225E" w:rsidRPr="00DF1530">
        <w:rPr>
          <w:lang w:val="ru-RU"/>
        </w:rPr>
        <w:t>ям</w:t>
      </w:r>
      <w:r w:rsidR="008C7A93" w:rsidRPr="00DF1530">
        <w:rPr>
          <w:lang w:val="ru-RU"/>
        </w:rPr>
        <w:t xml:space="preserve"> </w:t>
      </w:r>
      <w:r w:rsidR="0087225E" w:rsidRPr="00DF1530">
        <w:rPr>
          <w:lang w:val="ru-RU"/>
        </w:rPr>
        <w:t xml:space="preserve">в компаниях в нетехнических и технических секторах и укреплению связей между университетами и </w:t>
      </w:r>
      <w:r w:rsidR="00297F6F" w:rsidRPr="00DF1530">
        <w:rPr>
          <w:lang w:val="ru-RU"/>
        </w:rPr>
        <w:t>предприятия</w:t>
      </w:r>
      <w:r w:rsidR="0087225E" w:rsidRPr="00DF1530">
        <w:rPr>
          <w:lang w:val="ru-RU"/>
        </w:rPr>
        <w:t>ми</w:t>
      </w:r>
      <w:r w:rsidR="008C7A93" w:rsidRPr="00DF1530">
        <w:rPr>
          <w:lang w:val="ru-RU"/>
        </w:rPr>
        <w:t xml:space="preserve">. </w:t>
      </w:r>
      <w:r w:rsidR="0087225E" w:rsidRPr="00DF1530">
        <w:rPr>
          <w:lang w:val="ru-RU"/>
        </w:rPr>
        <w:t>Необходимо также улучшить охрану интеллектуальной собственности путем укрепления национального законодательства по патентам</w:t>
      </w:r>
      <w:r w:rsidR="008C7A93" w:rsidRPr="00DF1530">
        <w:rPr>
          <w:lang w:val="ru-RU"/>
        </w:rPr>
        <w:t xml:space="preserve">, </w:t>
      </w:r>
      <w:r w:rsidR="0087225E" w:rsidRPr="00DF1530">
        <w:rPr>
          <w:lang w:val="ru-RU"/>
        </w:rPr>
        <w:t>авторским правам и товарным знакам и содействия использованию</w:t>
      </w:r>
      <w:r w:rsidR="008C7A93" w:rsidRPr="00DF1530">
        <w:rPr>
          <w:lang w:val="ru-RU"/>
        </w:rPr>
        <w:t xml:space="preserve"> </w:t>
      </w:r>
      <w:r w:rsidR="0087225E" w:rsidRPr="00DF1530">
        <w:rPr>
          <w:lang w:val="ru-RU"/>
        </w:rPr>
        <w:t xml:space="preserve">системы </w:t>
      </w:r>
      <w:r w:rsidR="008C7A93" w:rsidRPr="00DF1530">
        <w:rPr>
          <w:lang w:val="ru-RU"/>
        </w:rPr>
        <w:t xml:space="preserve">IPR </w:t>
      </w:r>
      <w:r w:rsidR="0087225E" w:rsidRPr="00DF1530">
        <w:rPr>
          <w:lang w:val="ru-RU"/>
        </w:rPr>
        <w:t xml:space="preserve">в </w:t>
      </w:r>
      <w:r w:rsidR="00F736B7" w:rsidRPr="00DF1530">
        <w:rPr>
          <w:lang w:val="ru-RU"/>
        </w:rPr>
        <w:t>МСП</w:t>
      </w:r>
      <w:r w:rsidR="008C7A93" w:rsidRPr="00DF1530">
        <w:rPr>
          <w:lang w:val="ru-RU"/>
        </w:rPr>
        <w:t xml:space="preserve"> </w:t>
      </w:r>
      <w:r w:rsidR="0087225E" w:rsidRPr="00DF1530">
        <w:rPr>
          <w:lang w:val="ru-RU"/>
        </w:rPr>
        <w:t xml:space="preserve">путем уменьшения фрагментации в правовой системе </w:t>
      </w:r>
      <w:r w:rsidR="00827C14" w:rsidRPr="00DF1530">
        <w:rPr>
          <w:lang w:val="ru-RU"/>
        </w:rPr>
        <w:t xml:space="preserve">и сокращения времени и расходов на принудительное осуществление </w:t>
      </w:r>
      <w:r w:rsidR="00297F6F" w:rsidRPr="00DF1530">
        <w:rPr>
          <w:lang w:val="ru-RU"/>
        </w:rPr>
        <w:t>предприятия</w:t>
      </w:r>
      <w:r w:rsidR="00827C14" w:rsidRPr="00DF1530">
        <w:rPr>
          <w:lang w:val="ru-RU"/>
        </w:rPr>
        <w:t>ми</w:t>
      </w:r>
      <w:r w:rsidR="008C7A93" w:rsidRPr="00DF1530">
        <w:rPr>
          <w:lang w:val="ru-RU"/>
        </w:rPr>
        <w:t xml:space="preserve"> </w:t>
      </w:r>
      <w:r w:rsidR="00827C14" w:rsidRPr="00DF1530">
        <w:rPr>
          <w:lang w:val="ru-RU"/>
        </w:rPr>
        <w:t>своих прав</w:t>
      </w:r>
      <w:r w:rsidR="008C7A93" w:rsidRPr="00DF1530">
        <w:rPr>
          <w:lang w:val="ru-RU"/>
        </w:rPr>
        <w:t xml:space="preserve">. </w:t>
      </w:r>
    </w:p>
    <w:p w:rsidR="008C7A93" w:rsidRPr="00DF1530" w:rsidRDefault="00381392" w:rsidP="008C7A93">
      <w:pPr>
        <w:pStyle w:val="31"/>
        <w:rPr>
          <w:rFonts w:eastAsiaTheme="minorHAnsi"/>
          <w:lang w:val="ru-RU" w:eastAsia="en-US"/>
        </w:rPr>
      </w:pPr>
      <w:r w:rsidRPr="00DF1530">
        <w:rPr>
          <w:rFonts w:eastAsiaTheme="minorHAnsi"/>
          <w:lang w:val="ru-RU" w:eastAsia="en-US"/>
        </w:rPr>
        <w:t xml:space="preserve">Затрудненный </w:t>
      </w:r>
      <w:r w:rsidR="00391E8B" w:rsidRPr="00DF1530">
        <w:rPr>
          <w:rFonts w:eastAsiaTheme="minorHAnsi"/>
          <w:lang w:val="ru-RU" w:eastAsia="en-US"/>
        </w:rPr>
        <w:t xml:space="preserve">доступ к финансированию </w:t>
      </w:r>
      <w:r w:rsidR="00AD54CE" w:rsidRPr="00DF1530">
        <w:rPr>
          <w:rFonts w:eastAsiaTheme="minorHAnsi"/>
          <w:lang w:val="ru-RU" w:eastAsia="en-US"/>
        </w:rPr>
        <w:t>предпринимательской деятельности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AD54CE" w:rsidRPr="00DF1530">
        <w:rPr>
          <w:lang w:val="ru-RU"/>
        </w:rPr>
        <w:t>Российский финансовый сектор</w:t>
      </w:r>
      <w:r w:rsidR="008C7A93" w:rsidRPr="00DF1530">
        <w:rPr>
          <w:lang w:val="ru-RU"/>
        </w:rPr>
        <w:t xml:space="preserve"> </w:t>
      </w:r>
      <w:r w:rsidR="00AD54CE" w:rsidRPr="00DF1530">
        <w:rPr>
          <w:lang w:val="ru-RU"/>
        </w:rPr>
        <w:t xml:space="preserve">недостаточно развит в качестве источника кредитов и других финансовых продуктов для </w:t>
      </w:r>
      <w:r w:rsidR="00F736B7" w:rsidRPr="00DF1530">
        <w:rPr>
          <w:lang w:val="ru-RU"/>
        </w:rPr>
        <w:t>МСП</w:t>
      </w:r>
      <w:r w:rsidR="008C7A93" w:rsidRPr="00DF1530">
        <w:rPr>
          <w:lang w:val="ru-RU"/>
        </w:rPr>
        <w:t xml:space="preserve"> </w:t>
      </w:r>
      <w:r w:rsidR="00AD54CE" w:rsidRPr="00DF1530">
        <w:rPr>
          <w:lang w:val="ru-RU"/>
        </w:rPr>
        <w:t>и вновь созданных организаций</w:t>
      </w:r>
      <w:r w:rsidR="008C7A93" w:rsidRPr="00DF1530">
        <w:rPr>
          <w:lang w:val="ru-RU"/>
        </w:rPr>
        <w:t xml:space="preserve">. </w:t>
      </w:r>
      <w:r w:rsidR="00353F0B" w:rsidRPr="00DF1530">
        <w:rPr>
          <w:lang w:val="ru-RU"/>
        </w:rPr>
        <w:t xml:space="preserve">Это ведет к большей зависимости от внутренних источников финансирования, чем в других странах </w:t>
      </w:r>
      <w:r w:rsidR="008C7A93" w:rsidRPr="00DF1530">
        <w:rPr>
          <w:lang w:val="ru-RU"/>
        </w:rPr>
        <w:t xml:space="preserve">ECA </w:t>
      </w:r>
      <w:r w:rsidR="00353F0B" w:rsidRPr="00DF1530">
        <w:rPr>
          <w:lang w:val="ru-RU"/>
        </w:rPr>
        <w:t>и странах с доходами выше среднего,</w:t>
      </w:r>
      <w:r w:rsidR="008C7A93" w:rsidRPr="00DF1530">
        <w:rPr>
          <w:lang w:val="ru-RU"/>
        </w:rPr>
        <w:t xml:space="preserve"> </w:t>
      </w:r>
      <w:r w:rsidR="00353F0B" w:rsidRPr="00DF1530">
        <w:rPr>
          <w:lang w:val="ru-RU"/>
        </w:rPr>
        <w:t xml:space="preserve">и повышает риск проблем с </w:t>
      </w:r>
      <w:r w:rsidR="00CD71D1" w:rsidRPr="00DF1530">
        <w:rPr>
          <w:lang w:val="ru-RU"/>
        </w:rPr>
        <w:t>ликвидность</w:t>
      </w:r>
      <w:r w:rsidR="00353F0B" w:rsidRPr="00DF1530">
        <w:rPr>
          <w:lang w:val="ru-RU"/>
        </w:rPr>
        <w:t>ю</w:t>
      </w:r>
      <w:r w:rsidR="008C7A93" w:rsidRPr="00DF1530">
        <w:rPr>
          <w:lang w:val="ru-RU"/>
        </w:rPr>
        <w:t xml:space="preserve"> </w:t>
      </w:r>
      <w:r w:rsidR="00353F0B" w:rsidRPr="00DF1530">
        <w:rPr>
          <w:lang w:val="ru-RU"/>
        </w:rPr>
        <w:t>и нехватки инвестиционного капитала</w:t>
      </w:r>
      <w:r w:rsidR="008C7A93" w:rsidRPr="00DF1530">
        <w:rPr>
          <w:lang w:val="ru-RU"/>
        </w:rPr>
        <w:t xml:space="preserve">. </w:t>
      </w:r>
      <w:r w:rsidR="00F17D59" w:rsidRPr="00DF1530">
        <w:rPr>
          <w:lang w:val="ru-RU"/>
        </w:rPr>
        <w:t xml:space="preserve">Лишь </w:t>
      </w:r>
      <w:r w:rsidR="008C7A93" w:rsidRPr="00DF1530">
        <w:rPr>
          <w:lang w:val="ru-RU"/>
        </w:rPr>
        <w:t xml:space="preserve">16% </w:t>
      </w:r>
      <w:r w:rsidR="00353F0B" w:rsidRPr="00DF1530">
        <w:rPr>
          <w:lang w:val="ru-RU"/>
        </w:rPr>
        <w:t xml:space="preserve">инвестиций </w:t>
      </w:r>
      <w:r w:rsidR="00834072" w:rsidRPr="00DF1530">
        <w:rPr>
          <w:lang w:val="ru-RU"/>
        </w:rPr>
        <w:t>МСП</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353F0B" w:rsidRPr="00DF1530">
        <w:rPr>
          <w:lang w:val="ru-RU"/>
        </w:rPr>
        <w:t xml:space="preserve">в 2012 году были совершены за счет внешнего финансирования, </w:t>
      </w:r>
      <w:r w:rsidR="00F736B7" w:rsidRPr="00DF1530">
        <w:rPr>
          <w:lang w:val="ru-RU"/>
        </w:rPr>
        <w:t>по сравнению с</w:t>
      </w:r>
      <w:r w:rsidR="008C7A93" w:rsidRPr="00DF1530">
        <w:rPr>
          <w:lang w:val="ru-RU"/>
        </w:rPr>
        <w:t xml:space="preserve"> 40% </w:t>
      </w:r>
      <w:r w:rsidR="00353F0B" w:rsidRPr="00DF1530">
        <w:rPr>
          <w:lang w:val="ru-RU"/>
        </w:rPr>
        <w:t xml:space="preserve">в странах </w:t>
      </w:r>
      <w:r w:rsidR="008C7A93" w:rsidRPr="00DF1530">
        <w:rPr>
          <w:lang w:val="ru-RU"/>
        </w:rPr>
        <w:t xml:space="preserve">ECA </w:t>
      </w:r>
      <w:r w:rsidR="00353F0B" w:rsidRPr="00DF1530">
        <w:rPr>
          <w:lang w:val="ru-RU"/>
        </w:rPr>
        <w:t xml:space="preserve">и </w:t>
      </w:r>
      <w:r w:rsidR="008C7A93" w:rsidRPr="00DF1530">
        <w:rPr>
          <w:lang w:val="ru-RU"/>
        </w:rPr>
        <w:t xml:space="preserve">38% </w:t>
      </w:r>
      <w:r w:rsidR="00353F0B" w:rsidRPr="00DF1530">
        <w:rPr>
          <w:lang w:val="ru-RU"/>
        </w:rPr>
        <w:t>в странах с доходами выше среднего</w:t>
      </w:r>
      <w:r w:rsidR="008C7A93" w:rsidRPr="00DF1530">
        <w:rPr>
          <w:lang w:val="ru-RU"/>
        </w:rPr>
        <w:t xml:space="preserve"> </w:t>
      </w:r>
      <w:r w:rsidR="00353F0B" w:rsidRPr="00DF1530">
        <w:rPr>
          <w:lang w:val="ru-RU"/>
        </w:rPr>
        <w:t xml:space="preserve">в целом </w:t>
      </w:r>
      <w:r w:rsidR="008C7A93" w:rsidRPr="00DF1530">
        <w:rPr>
          <w:lang w:val="ru-RU"/>
        </w:rPr>
        <w:t>(</w:t>
      </w:r>
      <w:r w:rsidR="00592D7B" w:rsidRPr="00DF1530">
        <w:rPr>
          <w:lang w:val="ru-RU"/>
        </w:rPr>
        <w:t>Рисунок</w:t>
      </w:r>
      <w:r w:rsidR="008C7A93" w:rsidRPr="00DF1530">
        <w:rPr>
          <w:lang w:val="ru-RU"/>
        </w:rPr>
        <w:t xml:space="preserve"> 1.12). </w:t>
      </w:r>
      <w:r w:rsidR="00F17D59" w:rsidRPr="00DF1530">
        <w:rPr>
          <w:lang w:val="ru-RU"/>
        </w:rPr>
        <w:t xml:space="preserve">Проблема затрудненного доступа </w:t>
      </w:r>
      <w:r w:rsidR="00F17D59" w:rsidRPr="00DF1530">
        <w:rPr>
          <w:lang w:val="ru-RU"/>
        </w:rPr>
        <w:lastRenderedPageBreak/>
        <w:t xml:space="preserve">к финансированию МСП и предпринимательской деятельности должна решаться </w:t>
      </w:r>
      <w:r w:rsidR="00175A0E" w:rsidRPr="00DF1530">
        <w:rPr>
          <w:lang w:val="ru-RU"/>
        </w:rPr>
        <w:t>как путем улучшения общего состояния системы финансирования,</w:t>
      </w:r>
      <w:r w:rsidR="008C7A93" w:rsidRPr="00DF1530">
        <w:rPr>
          <w:lang w:val="ru-RU"/>
        </w:rPr>
        <w:t xml:space="preserve"> </w:t>
      </w:r>
      <w:r w:rsidR="00175A0E" w:rsidRPr="00DF1530">
        <w:rPr>
          <w:lang w:val="ru-RU"/>
        </w:rPr>
        <w:t>так и посредством целевых государственных программ финансирования</w:t>
      </w:r>
      <w:r w:rsidR="008C7A93" w:rsidRPr="00DF1530">
        <w:rPr>
          <w:lang w:val="ru-RU"/>
        </w:rPr>
        <w:t xml:space="preserve">. </w:t>
      </w:r>
      <w:r w:rsidR="00175A0E" w:rsidRPr="00DF1530">
        <w:rPr>
          <w:lang w:val="ru-RU"/>
        </w:rPr>
        <w:t>Что касается общего состояния</w:t>
      </w:r>
      <w:r w:rsidR="008C7A93" w:rsidRPr="00DF1530">
        <w:rPr>
          <w:lang w:val="ru-RU"/>
        </w:rPr>
        <w:t xml:space="preserve">, </w:t>
      </w:r>
      <w:r w:rsidR="00175A0E" w:rsidRPr="00DF1530">
        <w:rPr>
          <w:lang w:val="ru-RU"/>
        </w:rPr>
        <w:t>одним из ключевых приоритетов является расширение законных прав инвесторов</w:t>
      </w:r>
      <w:r w:rsidR="008C7A93" w:rsidRPr="00DF1530">
        <w:rPr>
          <w:lang w:val="ru-RU"/>
        </w:rPr>
        <w:t xml:space="preserve">. </w:t>
      </w:r>
      <w:r w:rsidR="00592D7B" w:rsidRPr="00DF1530">
        <w:rPr>
          <w:lang w:val="ru-RU"/>
        </w:rPr>
        <w:t>К примеру</w:t>
      </w:r>
      <w:r w:rsidR="008C7A93" w:rsidRPr="00DF1530">
        <w:rPr>
          <w:lang w:val="ru-RU"/>
        </w:rPr>
        <w:t xml:space="preserve">, </w:t>
      </w:r>
      <w:r w:rsidR="00175A0E" w:rsidRPr="00DF1530">
        <w:rPr>
          <w:lang w:val="ru-RU"/>
        </w:rPr>
        <w:t>величина законных прав по получению кредита в индексе Всемирного банка</w:t>
      </w:r>
      <w:r w:rsidR="008C7A93" w:rsidRPr="00DF1530">
        <w:rPr>
          <w:lang w:val="ru-RU"/>
        </w:rPr>
        <w:t xml:space="preserve"> Eas</w:t>
      </w:r>
      <w:r w:rsidR="00175A0E" w:rsidRPr="00DF1530">
        <w:rPr>
          <w:lang w:val="ru-RU"/>
        </w:rPr>
        <w:t>e</w:t>
      </w:r>
      <w:r w:rsidR="008C7A93" w:rsidRPr="00DF1530">
        <w:rPr>
          <w:lang w:val="ru-RU"/>
        </w:rPr>
        <w:t xml:space="preserve"> of Doing Business </w:t>
      </w:r>
      <w:r w:rsidR="00175A0E" w:rsidRPr="00DF1530">
        <w:rPr>
          <w:lang w:val="ru-RU"/>
        </w:rPr>
        <w:t xml:space="preserve">равна лишь </w:t>
      </w:r>
      <w:r w:rsidR="008C7A93" w:rsidRPr="00DF1530">
        <w:rPr>
          <w:lang w:val="ru-RU"/>
        </w:rPr>
        <w:t xml:space="preserve">3 </w:t>
      </w:r>
      <w:r w:rsidR="00175A0E" w:rsidRPr="00DF1530">
        <w:rPr>
          <w:lang w:val="ru-RU"/>
        </w:rPr>
        <w:t xml:space="preserve">из </w:t>
      </w:r>
      <w:r w:rsidR="008C7A93" w:rsidRPr="00DF1530">
        <w:rPr>
          <w:lang w:val="ru-RU"/>
        </w:rPr>
        <w:t xml:space="preserve">10 </w:t>
      </w:r>
      <w:r w:rsidR="00834072" w:rsidRPr="00DF1530">
        <w:rPr>
          <w:lang w:val="ru-RU"/>
        </w:rPr>
        <w:t>в Российской Федерации</w:t>
      </w:r>
      <w:r w:rsidR="008C7A93" w:rsidRPr="00DF1530">
        <w:rPr>
          <w:lang w:val="ru-RU"/>
        </w:rPr>
        <w:t xml:space="preserve">, </w:t>
      </w:r>
      <w:r w:rsidR="00F736B7" w:rsidRPr="00DF1530">
        <w:rPr>
          <w:lang w:val="ru-RU"/>
        </w:rPr>
        <w:t>по сравнению с</w:t>
      </w:r>
      <w:r w:rsidR="008C7A93" w:rsidRPr="00DF1530">
        <w:rPr>
          <w:lang w:val="ru-RU"/>
        </w:rPr>
        <w:t xml:space="preserve"> 7 </w:t>
      </w:r>
      <w:r w:rsidR="00175A0E" w:rsidRPr="00DF1530">
        <w:rPr>
          <w:lang w:val="ru-RU"/>
        </w:rPr>
        <w:t xml:space="preserve">в странах </w:t>
      </w:r>
      <w:r w:rsidR="005E53F2" w:rsidRPr="00DF1530">
        <w:rPr>
          <w:lang w:val="ru-RU"/>
        </w:rPr>
        <w:t>ОЭСР</w:t>
      </w:r>
      <w:r w:rsidR="008C7A93" w:rsidRPr="00DF1530">
        <w:rPr>
          <w:lang w:val="ru-RU"/>
        </w:rPr>
        <w:t xml:space="preserve"> </w:t>
      </w:r>
      <w:r w:rsidR="00175A0E" w:rsidRPr="00DF1530">
        <w:rPr>
          <w:lang w:val="ru-RU"/>
        </w:rPr>
        <w:t xml:space="preserve">и </w:t>
      </w:r>
      <w:r w:rsidR="008C7A93" w:rsidRPr="00DF1530">
        <w:rPr>
          <w:lang w:val="ru-RU"/>
        </w:rPr>
        <w:t xml:space="preserve">ECA </w:t>
      </w:r>
      <w:r w:rsidR="00175A0E" w:rsidRPr="00DF1530">
        <w:rPr>
          <w:lang w:val="ru-RU"/>
        </w:rPr>
        <w:t>в целом</w:t>
      </w:r>
      <w:r w:rsidR="008C7A93" w:rsidRPr="00DF1530">
        <w:rPr>
          <w:lang w:val="ru-RU"/>
        </w:rPr>
        <w:t xml:space="preserve">, </w:t>
      </w:r>
      <w:r w:rsidR="00175A0E" w:rsidRPr="00DF1530">
        <w:rPr>
          <w:lang w:val="ru-RU"/>
        </w:rPr>
        <w:t xml:space="preserve">и </w:t>
      </w:r>
      <w:r w:rsidR="004F360C" w:rsidRPr="00DF1530">
        <w:rPr>
          <w:lang w:val="ru-RU"/>
        </w:rPr>
        <w:t>Российская</w:t>
      </w:r>
      <w:r w:rsidR="005E53F2" w:rsidRPr="00DF1530">
        <w:rPr>
          <w:lang w:val="ru-RU"/>
        </w:rPr>
        <w:t xml:space="preserve"> Федерация</w:t>
      </w:r>
      <w:r w:rsidR="008C7A93" w:rsidRPr="00DF1530">
        <w:rPr>
          <w:lang w:val="ru-RU"/>
        </w:rPr>
        <w:t xml:space="preserve"> </w:t>
      </w:r>
      <w:r w:rsidR="00175A0E" w:rsidRPr="00DF1530">
        <w:rPr>
          <w:lang w:val="ru-RU"/>
        </w:rPr>
        <w:t xml:space="preserve">заняла </w:t>
      </w:r>
      <w:r w:rsidR="008C7A93" w:rsidRPr="00DF1530">
        <w:rPr>
          <w:lang w:val="ru-RU"/>
        </w:rPr>
        <w:t>115</w:t>
      </w:r>
      <w:r w:rsidR="00175A0E" w:rsidRPr="00DF1530">
        <w:rPr>
          <w:lang w:val="ru-RU"/>
        </w:rPr>
        <w:t xml:space="preserve">-е место среди </w:t>
      </w:r>
      <w:r w:rsidR="008C7A93" w:rsidRPr="00DF1530">
        <w:rPr>
          <w:lang w:val="ru-RU"/>
        </w:rPr>
        <w:t xml:space="preserve">189 </w:t>
      </w:r>
      <w:r w:rsidR="00175A0E" w:rsidRPr="00DF1530">
        <w:rPr>
          <w:lang w:val="ru-RU"/>
        </w:rPr>
        <w:t>стран по нормативно-правовым актам, защищающим миноритарных инвесторов</w:t>
      </w:r>
      <w:r w:rsidR="008C7A93" w:rsidRPr="00DF1530">
        <w:rPr>
          <w:lang w:val="ru-RU"/>
        </w:rPr>
        <w:t xml:space="preserve"> </w:t>
      </w:r>
      <w:r w:rsidR="00175A0E" w:rsidRPr="00DF1530">
        <w:rPr>
          <w:lang w:val="ru-RU"/>
        </w:rPr>
        <w:t>от неправомерного использования корпоративных средств директорами компании с целью получения личной выгоды</w:t>
      </w:r>
      <w:r w:rsidR="008C7A93" w:rsidRPr="00DF1530">
        <w:rPr>
          <w:lang w:val="ru-RU"/>
        </w:rPr>
        <w:t xml:space="preserve">. </w:t>
      </w:r>
      <w:r w:rsidR="00175A0E" w:rsidRPr="00DF1530">
        <w:rPr>
          <w:lang w:val="ru-RU"/>
        </w:rPr>
        <w:t>Следует также рассмотреть вопрос создани</w:t>
      </w:r>
      <w:r w:rsidR="00E93D9B" w:rsidRPr="00DF1530">
        <w:rPr>
          <w:lang w:val="ru-RU"/>
        </w:rPr>
        <w:t>я</w:t>
      </w:r>
      <w:r w:rsidR="00175A0E" w:rsidRPr="00DF1530">
        <w:rPr>
          <w:lang w:val="ru-RU"/>
        </w:rPr>
        <w:t xml:space="preserve"> государственного бюро кредитной информации</w:t>
      </w:r>
      <w:r w:rsidR="00865B62" w:rsidRPr="00DF1530">
        <w:rPr>
          <w:lang w:val="ru-RU"/>
        </w:rPr>
        <w:t xml:space="preserve">, чтобы банки и другие </w:t>
      </w:r>
      <w:r w:rsidR="00175A0E" w:rsidRPr="00DF1530">
        <w:rPr>
          <w:lang w:val="ru-RU"/>
        </w:rPr>
        <w:t>инвесторы</w:t>
      </w:r>
      <w:r w:rsidR="008C7A93" w:rsidRPr="00DF1530">
        <w:rPr>
          <w:lang w:val="ru-RU"/>
        </w:rPr>
        <w:t xml:space="preserve"> </w:t>
      </w:r>
      <w:r w:rsidR="00865B62" w:rsidRPr="00DF1530">
        <w:rPr>
          <w:lang w:val="ru-RU"/>
        </w:rPr>
        <w:t>могли лучше оценивать кредитный риск МСП для целей кредитования</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1.12.</w:t>
      </w:r>
      <w:r w:rsidR="00865B62" w:rsidRPr="00DF1530">
        <w:rPr>
          <w:lang w:val="ru-RU"/>
        </w:rPr>
        <w:t xml:space="preserve"> Источники финансирования</w:t>
      </w:r>
      <w:r w:rsidR="008C7A93" w:rsidRPr="00DF1530">
        <w:rPr>
          <w:lang w:val="ru-RU"/>
        </w:rPr>
        <w:t xml:space="preserve"> </w:t>
      </w:r>
      <w:r w:rsidRPr="00DF1530">
        <w:rPr>
          <w:lang w:val="ru-RU"/>
        </w:rPr>
        <w:t>предприятий</w:t>
      </w:r>
      <w:r w:rsidR="008C7A93" w:rsidRPr="00DF1530">
        <w:rPr>
          <w:lang w:val="ru-RU"/>
        </w:rPr>
        <w:t xml:space="preserve"> </w:t>
      </w:r>
      <w:r w:rsidR="00865B62" w:rsidRPr="00DF1530">
        <w:rPr>
          <w:lang w:val="ru-RU"/>
        </w:rPr>
        <w:t xml:space="preserve">для инвестирования </w:t>
      </w:r>
      <w:r w:rsidR="009030BD" w:rsidRPr="00DF1530">
        <w:rPr>
          <w:lang w:val="ru-RU"/>
        </w:rPr>
        <w:fldChar w:fldCharType="begin"/>
      </w:r>
      <w:r w:rsidR="008C7A93" w:rsidRPr="00DF1530">
        <w:rPr>
          <w:lang w:val="ru-RU"/>
        </w:rPr>
        <w:instrText xml:space="preserve"> TC \f f \l 2 "</w:instrText>
      </w:r>
      <w:bookmarkStart w:id="56" w:name="_Toc411604111"/>
      <w:r w:rsidR="008C7A93" w:rsidRPr="00DF1530">
        <w:rPr>
          <w:lang w:val="ru-RU"/>
        </w:rPr>
        <w:instrText>Figure 1.12.</w:instrText>
      </w:r>
      <w:r w:rsidR="008C7A93" w:rsidRPr="00DF1530">
        <w:rPr>
          <w:lang w:val="ru-RU"/>
        </w:rPr>
        <w:tab/>
        <w:instrText>Financing sources of enterprises for investment</w:instrText>
      </w:r>
      <w:bookmarkEnd w:id="56"/>
      <w:r w:rsidR="008C7A93" w:rsidRPr="00DF1530">
        <w:rPr>
          <w:lang w:val="ru-RU"/>
        </w:rPr>
        <w:instrText xml:space="preserve">"  </w:instrText>
      </w:r>
      <w:r w:rsidR="009030BD" w:rsidRPr="00DF1530">
        <w:rPr>
          <w:lang w:val="ru-RU"/>
        </w:rPr>
        <w:fldChar w:fldCharType="end"/>
      </w:r>
    </w:p>
    <w:p w:rsidR="008C7A93" w:rsidRPr="00DF1530" w:rsidRDefault="008C7A93" w:rsidP="008C7A93">
      <w:pPr>
        <w:pStyle w:val="Graphic"/>
        <w:rPr>
          <w:b/>
          <w:color w:val="FF0000"/>
          <w:szCs w:val="24"/>
          <w:lang w:val="ru-RU"/>
        </w:rPr>
      </w:pPr>
      <w:r w:rsidRPr="00DF1530">
        <w:rPr>
          <w:noProof/>
          <w:lang w:val="ru-RU" w:eastAsia="ru-RU"/>
        </w:rPr>
        <w:drawing>
          <wp:inline distT="0" distB="0" distL="0" distR="0">
            <wp:extent cx="5632704" cy="261884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2" t="2675" r="1522" b="1591"/>
                    <a:stretch/>
                  </pic:blipFill>
                  <pic:spPr bwMode="auto">
                    <a:xfrm>
                      <a:off x="0" y="0"/>
                      <a:ext cx="5632853" cy="26189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65B62" w:rsidRPr="00DF1530" w:rsidRDefault="00865B62" w:rsidP="00865B62">
      <w:pPr>
        <w:pStyle w:val="FigureNote"/>
        <w:rPr>
          <w:lang w:val="ru-RU"/>
        </w:rPr>
      </w:pPr>
      <w:r w:rsidRPr="00DF1530">
        <w:rPr>
          <w:lang w:val="ru-RU"/>
        </w:rPr>
        <w:t>Российская Федерация</w:t>
      </w:r>
    </w:p>
    <w:p w:rsidR="00865B62" w:rsidRPr="00DF1530" w:rsidRDefault="00865B62" w:rsidP="00865B62">
      <w:pPr>
        <w:pStyle w:val="FigureNote"/>
        <w:rPr>
          <w:lang w:val="ru-RU"/>
        </w:rPr>
      </w:pPr>
      <w:r w:rsidRPr="00DF1530">
        <w:rPr>
          <w:lang w:val="ru-RU"/>
        </w:rPr>
        <w:t>Восточная Европа и Центральная Азия</w:t>
      </w:r>
    </w:p>
    <w:p w:rsidR="00865B62" w:rsidRPr="00DF1530" w:rsidRDefault="00865B62" w:rsidP="00865B62">
      <w:pPr>
        <w:pStyle w:val="FigureNote"/>
        <w:rPr>
          <w:lang w:val="ru-RU"/>
        </w:rPr>
      </w:pPr>
      <w:r w:rsidRPr="00DF1530">
        <w:rPr>
          <w:lang w:val="ru-RU"/>
        </w:rPr>
        <w:t>Доход выше среднего</w:t>
      </w:r>
    </w:p>
    <w:p w:rsidR="006A5378" w:rsidRPr="00DF1530" w:rsidRDefault="006A5378" w:rsidP="006A5378">
      <w:pPr>
        <w:pStyle w:val="FigureNote"/>
        <w:rPr>
          <w:lang w:val="ru-RU"/>
        </w:rPr>
      </w:pPr>
    </w:p>
    <w:p w:rsidR="006A5378" w:rsidRPr="00DF1530" w:rsidRDefault="00C93E54" w:rsidP="006A5378">
      <w:pPr>
        <w:pStyle w:val="FigureNote"/>
        <w:rPr>
          <w:lang w:val="ru-RU"/>
        </w:rPr>
      </w:pPr>
      <w:r>
        <w:rPr>
          <w:lang w:val="ru-RU"/>
        </w:rPr>
        <w:t>Доля</w:t>
      </w:r>
      <w:r w:rsidR="006A5378" w:rsidRPr="00DF1530">
        <w:rPr>
          <w:lang w:val="ru-RU"/>
        </w:rPr>
        <w:t xml:space="preserve"> инвестиций, финансируемых за счет внутренних средств</w:t>
      </w:r>
      <w:proofErr w:type="gramStart"/>
      <w:r w:rsidR="006A5378" w:rsidRPr="00DF1530">
        <w:rPr>
          <w:lang w:val="ru-RU"/>
        </w:rPr>
        <w:t xml:space="preserve"> (%)</w:t>
      </w:r>
      <w:proofErr w:type="gramEnd"/>
    </w:p>
    <w:p w:rsidR="006A5378" w:rsidRPr="00DF1530" w:rsidRDefault="00C93E54" w:rsidP="006A5378">
      <w:pPr>
        <w:pStyle w:val="FigureNote"/>
        <w:rPr>
          <w:lang w:val="ru-RU"/>
        </w:rPr>
      </w:pPr>
      <w:r>
        <w:rPr>
          <w:lang w:val="ru-RU"/>
        </w:rPr>
        <w:t>Доля</w:t>
      </w:r>
      <w:r w:rsidR="006A5378" w:rsidRPr="00DF1530">
        <w:rPr>
          <w:lang w:val="ru-RU"/>
        </w:rPr>
        <w:t xml:space="preserve"> инвестиций, финансируемых банками</w:t>
      </w:r>
      <w:proofErr w:type="gramStart"/>
      <w:r w:rsidR="006A5378" w:rsidRPr="00DF1530">
        <w:rPr>
          <w:lang w:val="ru-RU"/>
        </w:rPr>
        <w:t xml:space="preserve"> (%)</w:t>
      </w:r>
      <w:proofErr w:type="gramEnd"/>
    </w:p>
    <w:p w:rsidR="006A5378" w:rsidRPr="00DF1530" w:rsidRDefault="00C93E54" w:rsidP="006A5378">
      <w:pPr>
        <w:pStyle w:val="FigureNote"/>
        <w:rPr>
          <w:lang w:val="ru-RU"/>
        </w:rPr>
      </w:pPr>
      <w:r>
        <w:rPr>
          <w:lang w:val="ru-RU"/>
        </w:rPr>
        <w:t>Доля</w:t>
      </w:r>
      <w:r w:rsidR="006A5378" w:rsidRPr="00DF1530">
        <w:rPr>
          <w:lang w:val="ru-RU"/>
        </w:rPr>
        <w:t xml:space="preserve"> инвестиций, финансируемых за счет кредита поставщика</w:t>
      </w:r>
      <w:proofErr w:type="gramStart"/>
      <w:r w:rsidR="006A5378" w:rsidRPr="00DF1530">
        <w:rPr>
          <w:lang w:val="ru-RU"/>
        </w:rPr>
        <w:t xml:space="preserve"> (%)</w:t>
      </w:r>
      <w:proofErr w:type="gramEnd"/>
    </w:p>
    <w:p w:rsidR="006A5378" w:rsidRPr="00DF1530" w:rsidRDefault="00C93E54" w:rsidP="006A5378">
      <w:pPr>
        <w:pStyle w:val="FigureNote"/>
        <w:rPr>
          <w:lang w:val="ru-RU"/>
        </w:rPr>
      </w:pPr>
      <w:r>
        <w:rPr>
          <w:lang w:val="ru-RU"/>
        </w:rPr>
        <w:t>Доля</w:t>
      </w:r>
      <w:r w:rsidR="006A5378" w:rsidRPr="00DF1530">
        <w:rPr>
          <w:lang w:val="ru-RU"/>
        </w:rPr>
        <w:t xml:space="preserve"> инвестиций, финансируемых за счет собственного капитала или прода</w:t>
      </w:r>
      <w:r w:rsidR="000550BC" w:rsidRPr="00DF1530">
        <w:rPr>
          <w:lang w:val="ru-RU"/>
        </w:rPr>
        <w:t>ж</w:t>
      </w:r>
      <w:r w:rsidR="006A5378" w:rsidRPr="00DF1530">
        <w:rPr>
          <w:lang w:val="ru-RU"/>
        </w:rPr>
        <w:t>и акций</w:t>
      </w:r>
      <w:proofErr w:type="gramStart"/>
      <w:r w:rsidR="006A5378" w:rsidRPr="00DF1530">
        <w:rPr>
          <w:lang w:val="ru-RU"/>
        </w:rPr>
        <w:t xml:space="preserve"> (%)</w:t>
      </w:r>
      <w:proofErr w:type="gramEnd"/>
    </w:p>
    <w:p w:rsidR="006A5378" w:rsidRPr="00DF1530" w:rsidRDefault="00C93E54" w:rsidP="006A5378">
      <w:pPr>
        <w:pStyle w:val="FigureNote"/>
        <w:rPr>
          <w:lang w:val="ru-RU"/>
        </w:rPr>
      </w:pPr>
      <w:r>
        <w:rPr>
          <w:lang w:val="ru-RU"/>
        </w:rPr>
        <w:t>Доля</w:t>
      </w:r>
      <w:r w:rsidR="006A5378" w:rsidRPr="00DF1530">
        <w:rPr>
          <w:lang w:val="ru-RU"/>
        </w:rPr>
        <w:t xml:space="preserve"> инвестиций, финансируемых другими способами</w:t>
      </w:r>
      <w:proofErr w:type="gramStart"/>
      <w:r w:rsidR="006A5378" w:rsidRPr="00DF1530">
        <w:rPr>
          <w:lang w:val="ru-RU"/>
        </w:rPr>
        <w:t xml:space="preserve"> (%)</w:t>
      </w:r>
      <w:proofErr w:type="gramEnd"/>
    </w:p>
    <w:p w:rsidR="006A5378" w:rsidRPr="00DF1530" w:rsidRDefault="006A5378" w:rsidP="008C7A93">
      <w:pPr>
        <w:pStyle w:val="SourceDescription"/>
        <w:rPr>
          <w:lang w:val="ru-RU"/>
        </w:rPr>
      </w:pP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proofErr w:type="gramStart"/>
      <w:r w:rsidR="008C7A93" w:rsidRPr="00BA51F1">
        <w:rPr>
          <w:lang w:val="en-US"/>
        </w:rPr>
        <w:t>IFC/</w:t>
      </w:r>
      <w:r w:rsidR="00865B62" w:rsidRPr="00BA51F1">
        <w:rPr>
          <w:lang w:val="en-US"/>
        </w:rPr>
        <w:t>World Bank Enterprise Survey</w:t>
      </w:r>
      <w:r w:rsidR="008C7A93" w:rsidRPr="00BA51F1">
        <w:rPr>
          <w:lang w:val="en-US"/>
        </w:rPr>
        <w:t xml:space="preserve"> (2012).</w:t>
      </w:r>
      <w:proofErr w:type="gramEnd"/>
    </w:p>
    <w:p w:rsidR="008C7A93" w:rsidRPr="00DF1530" w:rsidRDefault="008F2340" w:rsidP="008C7A93">
      <w:pPr>
        <w:pStyle w:val="31"/>
        <w:rPr>
          <w:lang w:val="ru-RU"/>
        </w:rPr>
      </w:pPr>
      <w:r w:rsidRPr="00DF1530">
        <w:rPr>
          <w:lang w:val="ru-RU"/>
        </w:rPr>
        <w:lastRenderedPageBreak/>
        <w:t xml:space="preserve">Основные </w:t>
      </w:r>
      <w:r w:rsidR="005E53F2" w:rsidRPr="00DF1530">
        <w:rPr>
          <w:lang w:val="ru-RU"/>
        </w:rPr>
        <w:t>рекомендации</w:t>
      </w:r>
      <w:r w:rsidR="008C7A93" w:rsidRPr="00DF1530">
        <w:rPr>
          <w:lang w:val="ru-RU"/>
        </w:rPr>
        <w:t xml:space="preserve"> </w:t>
      </w:r>
      <w:r w:rsidRPr="00DF1530">
        <w:rPr>
          <w:lang w:val="ru-RU"/>
        </w:rPr>
        <w:t>в области политики по условиям предпринимательской деятельности и системным условиям</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657506" w:rsidRPr="00DF1530">
        <w:rPr>
          <w:lang w:val="ru-RU"/>
        </w:rPr>
        <w:t xml:space="preserve"> Предлагаются нижеследующие рекомендации по </w:t>
      </w:r>
      <w:r w:rsidR="008F2340" w:rsidRPr="00DF1530">
        <w:rPr>
          <w:lang w:val="ru-RU"/>
        </w:rPr>
        <w:t>улучшени</w:t>
      </w:r>
      <w:r w:rsidR="00657506" w:rsidRPr="00DF1530">
        <w:rPr>
          <w:lang w:val="ru-RU"/>
        </w:rPr>
        <w:t>ю</w:t>
      </w:r>
      <w:r w:rsidR="008F2340" w:rsidRPr="00DF1530">
        <w:rPr>
          <w:lang w:val="ru-RU"/>
        </w:rPr>
        <w:t xml:space="preserve"> условий предпринимательской деятельности и системных условий</w:t>
      </w:r>
      <w:r w:rsidR="008C7A93" w:rsidRPr="00DF1530">
        <w:rPr>
          <w:lang w:val="ru-RU"/>
        </w:rPr>
        <w:t xml:space="preserve"> </w:t>
      </w:r>
      <w:r w:rsidR="00EF4486" w:rsidRPr="00DF1530">
        <w:rPr>
          <w:lang w:val="ru-RU"/>
        </w:rPr>
        <w:t xml:space="preserve">для развития </w:t>
      </w:r>
      <w:r w:rsidR="00834072" w:rsidRPr="00DF1530">
        <w:rPr>
          <w:lang w:val="ru-RU"/>
        </w:rPr>
        <w:t>МСП</w:t>
      </w:r>
      <w:r w:rsidR="008C7A93" w:rsidRPr="00DF1530">
        <w:rPr>
          <w:lang w:val="ru-RU"/>
        </w:rPr>
        <w:t xml:space="preserve"> </w:t>
      </w:r>
      <w:r w:rsidR="00EF4486" w:rsidRPr="00DF1530">
        <w:rPr>
          <w:lang w:val="ru-RU"/>
        </w:rPr>
        <w:t xml:space="preserve">и </w:t>
      </w:r>
      <w:r w:rsidR="00834072" w:rsidRPr="00DF1530">
        <w:rPr>
          <w:lang w:val="ru-RU"/>
        </w:rPr>
        <w:t>предпринимательск</w:t>
      </w:r>
      <w:r w:rsidR="00EF4486" w:rsidRPr="00DF1530">
        <w:rPr>
          <w:lang w:val="ru-RU"/>
        </w:rPr>
        <w:t>ой</w:t>
      </w:r>
      <w:r w:rsidR="00834072" w:rsidRPr="00DF1530">
        <w:rPr>
          <w:lang w:val="ru-RU"/>
        </w:rPr>
        <w:t xml:space="preserve"> деятельност</w:t>
      </w:r>
      <w:r w:rsidR="00EF4486" w:rsidRPr="00DF1530">
        <w:rPr>
          <w:lang w:val="ru-RU"/>
        </w:rPr>
        <w:t>и</w:t>
      </w:r>
      <w:r w:rsidR="008C7A93" w:rsidRPr="00DF1530">
        <w:rPr>
          <w:lang w:val="ru-RU"/>
        </w:rPr>
        <w:t xml:space="preserve"> </w:t>
      </w:r>
      <w:r w:rsidR="00EF4486" w:rsidRPr="00DF1530">
        <w:rPr>
          <w:lang w:val="ru-RU"/>
        </w:rPr>
        <w:t xml:space="preserve">в </w:t>
      </w:r>
      <w:r w:rsidR="008F2340" w:rsidRPr="00DF1530">
        <w:rPr>
          <w:lang w:val="ru-RU"/>
        </w:rPr>
        <w:t>Российской Федерации</w:t>
      </w:r>
      <w:r w:rsidR="008C7A93" w:rsidRPr="00DF1530">
        <w:rPr>
          <w:lang w:val="ru-RU"/>
        </w:rPr>
        <w:t xml:space="preserve">: </w:t>
      </w:r>
    </w:p>
    <w:p w:rsidR="008C7A93" w:rsidRPr="00DF1530" w:rsidRDefault="00796122" w:rsidP="008C7A93">
      <w:pPr>
        <w:pStyle w:val="a"/>
        <w:rPr>
          <w:lang w:val="ru-RU"/>
        </w:rPr>
      </w:pPr>
      <w:r w:rsidRPr="00DF1530">
        <w:rPr>
          <w:lang w:val="ru-RU"/>
        </w:rPr>
        <w:t>Уменьшить регулятивные</w:t>
      </w:r>
      <w:r w:rsidR="008C7A93" w:rsidRPr="00DF1530">
        <w:rPr>
          <w:lang w:val="ru-RU"/>
        </w:rPr>
        <w:t xml:space="preserve"> </w:t>
      </w:r>
      <w:r w:rsidR="00F14910" w:rsidRPr="00DF1530">
        <w:rPr>
          <w:lang w:val="ru-RU"/>
        </w:rPr>
        <w:t>барьеры</w:t>
      </w:r>
      <w:r w:rsidR="008C7A93" w:rsidRPr="00DF1530">
        <w:rPr>
          <w:lang w:val="ru-RU"/>
        </w:rPr>
        <w:t xml:space="preserve"> </w:t>
      </w:r>
      <w:proofErr w:type="gramStart"/>
      <w:r w:rsidRPr="00DF1530">
        <w:rPr>
          <w:lang w:val="ru-RU"/>
        </w:rPr>
        <w:t>для</w:t>
      </w:r>
      <w:proofErr w:type="gramEnd"/>
      <w:r w:rsidRPr="00DF1530">
        <w:rPr>
          <w:lang w:val="ru-RU"/>
        </w:rPr>
        <w:t xml:space="preserve"> </w:t>
      </w:r>
      <w:proofErr w:type="gramStart"/>
      <w:r w:rsidR="00487FF6">
        <w:rPr>
          <w:lang w:val="ru-RU"/>
        </w:rPr>
        <w:t>ПИИ</w:t>
      </w:r>
      <w:proofErr w:type="gramEnd"/>
      <w:r w:rsidR="008C7A93" w:rsidRPr="00DF1530">
        <w:rPr>
          <w:lang w:val="ru-RU"/>
        </w:rPr>
        <w:t xml:space="preserve"> </w:t>
      </w:r>
      <w:r w:rsidRPr="00DF1530">
        <w:rPr>
          <w:lang w:val="ru-RU"/>
        </w:rPr>
        <w:t xml:space="preserve">с ориентированными на внутренний рынок инвестициями, чтобы усилить их роль в модернизации технологий и расширении рынков </w:t>
      </w:r>
      <w:r w:rsidR="00F736B7" w:rsidRPr="00DF1530">
        <w:rPr>
          <w:lang w:val="ru-RU"/>
        </w:rPr>
        <w:t>МСП</w:t>
      </w:r>
      <w:r w:rsidR="008C7A93" w:rsidRPr="00DF1530">
        <w:rPr>
          <w:lang w:val="ru-RU"/>
        </w:rPr>
        <w:t>.</w:t>
      </w:r>
    </w:p>
    <w:p w:rsidR="008C7A93" w:rsidRPr="00DF1530" w:rsidRDefault="00CC2DE5" w:rsidP="008C7A93">
      <w:pPr>
        <w:pStyle w:val="a"/>
        <w:rPr>
          <w:lang w:val="ru-RU"/>
        </w:rPr>
      </w:pPr>
      <w:r w:rsidRPr="00DF1530">
        <w:rPr>
          <w:lang w:val="ru-RU"/>
        </w:rPr>
        <w:t>Продолжить усилия по укреплению конкурентной политики</w:t>
      </w:r>
      <w:r w:rsidR="008C7A93" w:rsidRPr="00DF1530">
        <w:rPr>
          <w:lang w:val="ru-RU"/>
        </w:rPr>
        <w:t xml:space="preserve">, </w:t>
      </w:r>
      <w:r w:rsidR="00297F6F" w:rsidRPr="00DF1530">
        <w:rPr>
          <w:lang w:val="ru-RU"/>
        </w:rPr>
        <w:t>в</w:t>
      </w:r>
      <w:r w:rsidRPr="00DF1530">
        <w:rPr>
          <w:lang w:val="ru-RU"/>
        </w:rPr>
        <w:t xml:space="preserve"> том числе путем наблюдения за </w:t>
      </w:r>
      <w:r w:rsidR="00C91864" w:rsidRPr="00DF1530">
        <w:rPr>
          <w:lang w:val="ru-RU"/>
        </w:rPr>
        <w:t>ситуацией</w:t>
      </w:r>
      <w:r w:rsidRPr="00DF1530">
        <w:rPr>
          <w:lang w:val="ru-RU"/>
        </w:rPr>
        <w:t xml:space="preserve">, чтобы улучшить регулирование </w:t>
      </w:r>
      <w:r w:rsidR="006128F1" w:rsidRPr="00DF1530">
        <w:rPr>
          <w:lang w:val="ru-RU"/>
        </w:rPr>
        <w:t>товарн</w:t>
      </w:r>
      <w:r w:rsidRPr="00DF1530">
        <w:rPr>
          <w:lang w:val="ru-RU"/>
        </w:rPr>
        <w:t>ого</w:t>
      </w:r>
      <w:r w:rsidR="006128F1" w:rsidRPr="00DF1530">
        <w:rPr>
          <w:lang w:val="ru-RU"/>
        </w:rPr>
        <w:t xml:space="preserve"> рынк</w:t>
      </w:r>
      <w:r w:rsidRPr="00DF1530">
        <w:rPr>
          <w:lang w:val="ru-RU"/>
        </w:rPr>
        <w:t>а</w:t>
      </w:r>
      <w:r w:rsidR="008C7A93" w:rsidRPr="00DF1530">
        <w:rPr>
          <w:lang w:val="ru-RU"/>
        </w:rPr>
        <w:t xml:space="preserve"> </w:t>
      </w:r>
      <w:r w:rsidRPr="00DF1530">
        <w:rPr>
          <w:lang w:val="ru-RU"/>
        </w:rPr>
        <w:t xml:space="preserve">и расширить государственные технические возможности по решению вопросов конкуренции </w:t>
      </w:r>
      <w:r w:rsidR="00974095" w:rsidRPr="00DF1530">
        <w:rPr>
          <w:lang w:val="ru-RU"/>
        </w:rPr>
        <w:t>посредством лучшего аналитического руководства и обучения для сотрудников органов по конкуренции</w:t>
      </w:r>
      <w:r w:rsidR="008C7A93" w:rsidRPr="00DF1530">
        <w:rPr>
          <w:lang w:val="ru-RU"/>
        </w:rPr>
        <w:t xml:space="preserve">.  </w:t>
      </w:r>
    </w:p>
    <w:p w:rsidR="008C7A93" w:rsidRPr="00DF1530" w:rsidRDefault="00C91864" w:rsidP="008C7A93">
      <w:pPr>
        <w:pStyle w:val="a"/>
        <w:rPr>
          <w:lang w:val="ru-RU"/>
        </w:rPr>
      </w:pPr>
      <w:r w:rsidRPr="00DF1530">
        <w:rPr>
          <w:lang w:val="ru-RU" w:eastAsia="en-US"/>
        </w:rPr>
        <w:t xml:space="preserve">Реализовать планы приватизации государственных предприятий и уменьшить государственный непосредственный контроль за деятельностью частных </w:t>
      </w:r>
      <w:r w:rsidR="00297F6F" w:rsidRPr="00DF1530">
        <w:rPr>
          <w:lang w:val="ru-RU" w:eastAsia="en-US"/>
        </w:rPr>
        <w:t>предприяти</w:t>
      </w:r>
      <w:r w:rsidRPr="00DF1530">
        <w:rPr>
          <w:lang w:val="ru-RU" w:eastAsia="en-US"/>
        </w:rPr>
        <w:t>й,</w:t>
      </w:r>
      <w:r w:rsidR="008C7A93" w:rsidRPr="00DF1530">
        <w:rPr>
          <w:lang w:val="ru-RU" w:eastAsia="en-US"/>
        </w:rPr>
        <w:t xml:space="preserve"> </w:t>
      </w:r>
      <w:r w:rsidRPr="00DF1530">
        <w:rPr>
          <w:lang w:val="ru-RU" w:eastAsia="en-US"/>
        </w:rPr>
        <w:t>осуществляемый, в частности, посредством субсидий и регулирования цен</w:t>
      </w:r>
      <w:r w:rsidR="008C7A93" w:rsidRPr="00DF1530">
        <w:rPr>
          <w:lang w:val="ru-RU" w:eastAsia="en-US"/>
        </w:rPr>
        <w:t xml:space="preserve">.  </w:t>
      </w:r>
    </w:p>
    <w:p w:rsidR="008C7A93" w:rsidRPr="00DF1530" w:rsidRDefault="008D5E09" w:rsidP="008C7A93">
      <w:pPr>
        <w:pStyle w:val="a"/>
        <w:rPr>
          <w:lang w:val="ru-RU"/>
        </w:rPr>
      </w:pPr>
      <w:r w:rsidRPr="00DF1530">
        <w:rPr>
          <w:lang w:val="ru-RU"/>
        </w:rPr>
        <w:t xml:space="preserve">Поддерживать политику закупок в </w:t>
      </w:r>
      <w:r w:rsidR="00834072" w:rsidRPr="00DF1530">
        <w:rPr>
          <w:lang w:val="ru-RU"/>
        </w:rPr>
        <w:t>МСП</w:t>
      </w:r>
      <w:r w:rsidR="008C7A93" w:rsidRPr="00DF1530">
        <w:rPr>
          <w:lang w:val="ru-RU"/>
        </w:rPr>
        <w:t xml:space="preserve"> </w:t>
      </w:r>
      <w:r w:rsidRPr="00DF1530">
        <w:rPr>
          <w:lang w:val="ru-RU"/>
        </w:rPr>
        <w:t xml:space="preserve">путем осуществления целевых информационных программ и программ обучения для расширения возможностей </w:t>
      </w:r>
      <w:r w:rsidR="00F736B7" w:rsidRPr="00DF1530">
        <w:rPr>
          <w:lang w:val="ru-RU"/>
        </w:rPr>
        <w:t>МСП</w:t>
      </w:r>
      <w:r w:rsidR="008C7A93" w:rsidRPr="00DF1530">
        <w:rPr>
          <w:lang w:val="ru-RU"/>
        </w:rPr>
        <w:t xml:space="preserve"> </w:t>
      </w:r>
      <w:r w:rsidRPr="00DF1530">
        <w:rPr>
          <w:lang w:val="ru-RU"/>
        </w:rPr>
        <w:t>успешно конкурировать в получении контрактов на государственные закупки</w:t>
      </w:r>
      <w:r w:rsidR="008C7A93" w:rsidRPr="00DF1530">
        <w:rPr>
          <w:lang w:val="ru-RU"/>
        </w:rPr>
        <w:t xml:space="preserve">. </w:t>
      </w:r>
    </w:p>
    <w:p w:rsidR="008C7A93" w:rsidRPr="00DF1530" w:rsidRDefault="00FF5A6B" w:rsidP="008C7A93">
      <w:pPr>
        <w:pStyle w:val="a"/>
        <w:rPr>
          <w:lang w:val="ru-RU"/>
        </w:rPr>
      </w:pPr>
      <w:r w:rsidRPr="00DF1530">
        <w:rPr>
          <w:lang w:val="ru-RU"/>
        </w:rPr>
        <w:t>Продолжить с</w:t>
      </w:r>
      <w:r w:rsidR="00F3514D" w:rsidRPr="00DF1530">
        <w:rPr>
          <w:lang w:val="ru-RU"/>
        </w:rPr>
        <w:t xml:space="preserve">мягчение </w:t>
      </w:r>
      <w:r w:rsidR="00796122" w:rsidRPr="00DF1530">
        <w:rPr>
          <w:lang w:val="ru-RU"/>
        </w:rPr>
        <w:t>регулятивн</w:t>
      </w:r>
      <w:r w:rsidRPr="00DF1530">
        <w:rPr>
          <w:lang w:val="ru-RU"/>
        </w:rPr>
        <w:t xml:space="preserve">ого бремени </w:t>
      </w:r>
      <w:r w:rsidR="00F736B7" w:rsidRPr="00DF1530">
        <w:rPr>
          <w:lang w:val="ru-RU"/>
        </w:rPr>
        <w:t>МСП</w:t>
      </w:r>
      <w:r w:rsidR="008C7A93" w:rsidRPr="00DF1530">
        <w:rPr>
          <w:lang w:val="ru-RU"/>
        </w:rPr>
        <w:t xml:space="preserve"> </w:t>
      </w:r>
      <w:r w:rsidRPr="00DF1530">
        <w:rPr>
          <w:lang w:val="ru-RU"/>
        </w:rPr>
        <w:t xml:space="preserve">и </w:t>
      </w:r>
      <w:r w:rsidR="00347E3A" w:rsidRPr="00DF1530">
        <w:rPr>
          <w:lang w:val="ru-RU"/>
        </w:rPr>
        <w:t>предпринимател</w:t>
      </w:r>
      <w:r w:rsidRPr="00DF1530">
        <w:rPr>
          <w:lang w:val="ru-RU"/>
        </w:rPr>
        <w:t>ей</w:t>
      </w:r>
      <w:r w:rsidR="008C7A93" w:rsidRPr="00DF1530">
        <w:rPr>
          <w:lang w:val="ru-RU"/>
        </w:rPr>
        <w:t xml:space="preserve"> </w:t>
      </w:r>
      <w:r w:rsidRPr="00DF1530">
        <w:rPr>
          <w:lang w:val="ru-RU"/>
        </w:rPr>
        <w:t xml:space="preserve">путем упрощения </w:t>
      </w:r>
      <w:r w:rsidR="00ED6915" w:rsidRPr="00DF1530">
        <w:rPr>
          <w:lang w:val="ru-RU"/>
        </w:rPr>
        <w:t>законодательств</w:t>
      </w:r>
      <w:r w:rsidRPr="00DF1530">
        <w:rPr>
          <w:lang w:val="ru-RU"/>
        </w:rPr>
        <w:t>а</w:t>
      </w:r>
      <w:r w:rsidR="008C7A93" w:rsidRPr="00DF1530">
        <w:rPr>
          <w:lang w:val="ru-RU"/>
        </w:rPr>
        <w:t xml:space="preserve">, </w:t>
      </w:r>
      <w:r w:rsidRPr="00DF1530">
        <w:rPr>
          <w:lang w:val="ru-RU"/>
        </w:rPr>
        <w:t xml:space="preserve">обучения </w:t>
      </w:r>
      <w:r w:rsidR="001D3F4C" w:rsidRPr="00DF1530">
        <w:rPr>
          <w:lang w:val="ru-RU"/>
        </w:rPr>
        <w:t>государственны</w:t>
      </w:r>
      <w:r w:rsidRPr="00DF1530">
        <w:rPr>
          <w:lang w:val="ru-RU"/>
        </w:rPr>
        <w:t>х</w:t>
      </w:r>
      <w:r w:rsidR="001D3F4C" w:rsidRPr="00DF1530">
        <w:rPr>
          <w:lang w:val="ru-RU"/>
        </w:rPr>
        <w:t xml:space="preserve"> должностны</w:t>
      </w:r>
      <w:r w:rsidRPr="00DF1530">
        <w:rPr>
          <w:lang w:val="ru-RU"/>
        </w:rPr>
        <w:t>х</w:t>
      </w:r>
      <w:r w:rsidR="001D3F4C" w:rsidRPr="00DF1530">
        <w:rPr>
          <w:lang w:val="ru-RU"/>
        </w:rPr>
        <w:t xml:space="preserve"> лиц</w:t>
      </w:r>
      <w:r w:rsidR="008C7A93" w:rsidRPr="00DF1530">
        <w:rPr>
          <w:lang w:val="ru-RU"/>
        </w:rPr>
        <w:t xml:space="preserve"> </w:t>
      </w:r>
      <w:r w:rsidRPr="00DF1530">
        <w:rPr>
          <w:lang w:val="ru-RU"/>
        </w:rPr>
        <w:t xml:space="preserve">ведению дел с </w:t>
      </w:r>
      <w:r w:rsidR="00297F6F" w:rsidRPr="00DF1530">
        <w:rPr>
          <w:lang w:val="ru-RU"/>
        </w:rPr>
        <w:t>предприятия</w:t>
      </w:r>
      <w:r w:rsidRPr="00DF1530">
        <w:rPr>
          <w:lang w:val="ru-RU"/>
        </w:rPr>
        <w:t>ми</w:t>
      </w:r>
      <w:r w:rsidR="008C7A93" w:rsidRPr="00DF1530">
        <w:rPr>
          <w:lang w:val="ru-RU"/>
        </w:rPr>
        <w:t xml:space="preserve">, </w:t>
      </w:r>
      <w:r w:rsidRPr="00DF1530">
        <w:rPr>
          <w:lang w:val="ru-RU"/>
        </w:rPr>
        <w:t xml:space="preserve">расширения </w:t>
      </w:r>
      <w:r w:rsidR="0087225E" w:rsidRPr="00DF1530">
        <w:rPr>
          <w:lang w:val="ru-RU"/>
        </w:rPr>
        <w:t>использовани</w:t>
      </w:r>
      <w:r w:rsidRPr="00DF1530">
        <w:rPr>
          <w:lang w:val="ru-RU"/>
        </w:rPr>
        <w:t>я</w:t>
      </w:r>
      <w:r w:rsidR="008C7A93" w:rsidRPr="00DF1530">
        <w:rPr>
          <w:lang w:val="ru-RU"/>
        </w:rPr>
        <w:t xml:space="preserve"> </w:t>
      </w:r>
      <w:r w:rsidRPr="00DF1530">
        <w:rPr>
          <w:lang w:val="ru-RU"/>
        </w:rPr>
        <w:t xml:space="preserve">электронных государственных услуг по управлению частными предприятиями и компаниями и комплаенсу </w:t>
      </w:r>
      <w:r w:rsidR="008C7A93" w:rsidRPr="00DF1530">
        <w:rPr>
          <w:lang w:val="ru-RU"/>
        </w:rPr>
        <w:t>(</w:t>
      </w:r>
      <w:r w:rsidRPr="00DF1530">
        <w:rPr>
          <w:lang w:val="ru-RU"/>
        </w:rPr>
        <w:t>например, регистрация предприятий «онлайн», налоговые декларации «онлайн» и отчетность «онлайн»</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систему электронной аутентификации с цифровой подписью и печатью на документации</w:t>
      </w:r>
      <w:r w:rsidR="008C7A93" w:rsidRPr="00DF1530">
        <w:rPr>
          <w:lang w:val="ru-RU"/>
        </w:rPr>
        <w:t xml:space="preserve">), </w:t>
      </w:r>
      <w:r w:rsidRPr="00DF1530">
        <w:rPr>
          <w:lang w:val="ru-RU"/>
        </w:rPr>
        <w:t xml:space="preserve">а также расширить процедуры </w:t>
      </w:r>
      <w:r w:rsidR="008C7A93" w:rsidRPr="00DF1530">
        <w:rPr>
          <w:lang w:val="ru-RU"/>
        </w:rPr>
        <w:t xml:space="preserve">RIA </w:t>
      </w:r>
      <w:r w:rsidRPr="00DF1530">
        <w:rPr>
          <w:lang w:val="ru-RU"/>
        </w:rPr>
        <w:t>для систематической</w:t>
      </w:r>
      <w:r w:rsidR="008C7A93" w:rsidRPr="00DF1530">
        <w:rPr>
          <w:lang w:val="ru-RU"/>
        </w:rPr>
        <w:t xml:space="preserve"> </w:t>
      </w:r>
      <w:r w:rsidRPr="00DF1530">
        <w:rPr>
          <w:lang w:val="ru-RU"/>
        </w:rPr>
        <w:t>проверки всех изменений в законодательстве, обсуждаемых в парламенте страны</w:t>
      </w:r>
      <w:r w:rsidR="008C7A93" w:rsidRPr="00DF1530">
        <w:rPr>
          <w:lang w:val="ru-RU"/>
        </w:rPr>
        <w:t xml:space="preserve">. </w:t>
      </w:r>
    </w:p>
    <w:p w:rsidR="008C7A93" w:rsidRPr="00DF1530" w:rsidRDefault="00D77977" w:rsidP="008C7A93">
      <w:pPr>
        <w:pStyle w:val="a"/>
        <w:rPr>
          <w:lang w:val="ru-RU"/>
        </w:rPr>
      </w:pPr>
      <w:r w:rsidRPr="00DF1530">
        <w:rPr>
          <w:lang w:val="ru-RU"/>
        </w:rPr>
        <w:t xml:space="preserve">Продолжить действующую кампанию по борьбе с </w:t>
      </w:r>
      <w:r w:rsidR="00FE69BF" w:rsidRPr="00DF1530">
        <w:rPr>
          <w:lang w:val="ru-RU" w:eastAsia="en-US"/>
        </w:rPr>
        <w:t>коррупци</w:t>
      </w:r>
      <w:r w:rsidRPr="00DF1530">
        <w:rPr>
          <w:lang w:val="ru-RU" w:eastAsia="en-US"/>
        </w:rPr>
        <w:t>ей,</w:t>
      </w:r>
      <w:r w:rsidR="008C7A93" w:rsidRPr="00DF1530">
        <w:rPr>
          <w:lang w:val="ru-RU" w:eastAsia="en-US"/>
        </w:rPr>
        <w:t xml:space="preserve"> </w:t>
      </w:r>
      <w:r w:rsidRPr="00DF1530">
        <w:rPr>
          <w:lang w:val="ru-RU" w:eastAsia="en-US"/>
        </w:rPr>
        <w:t>сосредоточив большее внимание на механизмах прозрачности и подотч</w:t>
      </w:r>
      <w:r w:rsidR="00BD465D" w:rsidRPr="00DF1530">
        <w:rPr>
          <w:lang w:val="ru-RU" w:eastAsia="en-US"/>
        </w:rPr>
        <w:t>е</w:t>
      </w:r>
      <w:r w:rsidRPr="00DF1530">
        <w:rPr>
          <w:lang w:val="ru-RU" w:eastAsia="en-US"/>
        </w:rPr>
        <w:t>тности в государственном секторе</w:t>
      </w:r>
      <w:r w:rsidR="008C7A93" w:rsidRPr="00DF1530">
        <w:rPr>
          <w:lang w:val="ru-RU" w:eastAsia="en-US"/>
        </w:rPr>
        <w:t xml:space="preserve">, </w:t>
      </w:r>
      <w:r w:rsidRPr="00DF1530">
        <w:rPr>
          <w:lang w:val="ru-RU" w:eastAsia="en-US"/>
        </w:rPr>
        <w:t xml:space="preserve">сделать новое и </w:t>
      </w:r>
      <w:r w:rsidR="00976BC2" w:rsidRPr="00DF1530">
        <w:rPr>
          <w:lang w:val="ru-RU"/>
        </w:rPr>
        <w:t>существующ</w:t>
      </w:r>
      <w:r w:rsidRPr="00DF1530">
        <w:rPr>
          <w:lang w:val="ru-RU"/>
        </w:rPr>
        <w:t>ее</w:t>
      </w:r>
      <w:r w:rsidR="008C7A93" w:rsidRPr="00DF1530">
        <w:rPr>
          <w:lang w:val="ru-RU"/>
        </w:rPr>
        <w:t xml:space="preserve"> </w:t>
      </w:r>
      <w:r w:rsidR="00ED6915" w:rsidRPr="00DF1530">
        <w:rPr>
          <w:lang w:val="ru-RU"/>
        </w:rPr>
        <w:t>законодательство</w:t>
      </w:r>
      <w:r w:rsidR="008C7A93" w:rsidRPr="00DF1530">
        <w:rPr>
          <w:lang w:val="ru-RU"/>
        </w:rPr>
        <w:t xml:space="preserve"> </w:t>
      </w:r>
      <w:r w:rsidRPr="00DF1530">
        <w:rPr>
          <w:lang w:val="ru-RU"/>
        </w:rPr>
        <w:t xml:space="preserve">максимально конкретным, чтобы не допустить чрезмерной свободы действий </w:t>
      </w:r>
      <w:r w:rsidR="001D3F4C" w:rsidRPr="00DF1530">
        <w:rPr>
          <w:lang w:val="ru-RU"/>
        </w:rPr>
        <w:t>государственны</w:t>
      </w:r>
      <w:r w:rsidRPr="00DF1530">
        <w:rPr>
          <w:lang w:val="ru-RU"/>
        </w:rPr>
        <w:t>х</w:t>
      </w:r>
      <w:r w:rsidR="001D3F4C" w:rsidRPr="00DF1530">
        <w:rPr>
          <w:lang w:val="ru-RU"/>
        </w:rPr>
        <w:t xml:space="preserve"> должностны</w:t>
      </w:r>
      <w:r w:rsidRPr="00DF1530">
        <w:rPr>
          <w:lang w:val="ru-RU"/>
        </w:rPr>
        <w:t>х</w:t>
      </w:r>
      <w:r w:rsidR="001D3F4C" w:rsidRPr="00DF1530">
        <w:rPr>
          <w:lang w:val="ru-RU"/>
        </w:rPr>
        <w:t xml:space="preserve"> лиц</w:t>
      </w:r>
      <w:r w:rsidR="008C7A93" w:rsidRPr="00DF1530">
        <w:rPr>
          <w:lang w:val="ru-RU"/>
        </w:rPr>
        <w:t xml:space="preserve">, </w:t>
      </w:r>
      <w:r w:rsidRPr="00DF1530">
        <w:rPr>
          <w:lang w:val="ru-RU"/>
        </w:rPr>
        <w:t>и предоставить логистическую и рабочую поддержку федеральному бизнес-омбудсмену</w:t>
      </w:r>
      <w:r w:rsidR="008C7A93" w:rsidRPr="00DF1530">
        <w:rPr>
          <w:lang w:val="ru-RU"/>
        </w:rPr>
        <w:t>.</w:t>
      </w:r>
    </w:p>
    <w:p w:rsidR="008C7A93" w:rsidRPr="00DF1530" w:rsidRDefault="00D77977" w:rsidP="008C7A93">
      <w:pPr>
        <w:pStyle w:val="a"/>
        <w:rPr>
          <w:lang w:val="ru-RU"/>
        </w:rPr>
      </w:pPr>
      <w:r w:rsidRPr="00DF1530">
        <w:rPr>
          <w:lang w:val="ru-RU"/>
        </w:rPr>
        <w:t xml:space="preserve">Усилить </w:t>
      </w:r>
      <w:r w:rsidR="00A62295" w:rsidRPr="00DF1530">
        <w:rPr>
          <w:lang w:val="ru-RU"/>
        </w:rPr>
        <w:t>независимость</w:t>
      </w:r>
      <w:r w:rsidR="008C7A93" w:rsidRPr="00DF1530">
        <w:rPr>
          <w:lang w:val="ru-RU"/>
        </w:rPr>
        <w:t xml:space="preserve"> </w:t>
      </w:r>
      <w:r w:rsidRPr="00DF1530">
        <w:rPr>
          <w:lang w:val="ru-RU"/>
        </w:rPr>
        <w:t xml:space="preserve">судебной системы путем </w:t>
      </w:r>
      <w:r w:rsidR="008D34F6" w:rsidRPr="00DF1530">
        <w:rPr>
          <w:lang w:val="ru-RU"/>
        </w:rPr>
        <w:t xml:space="preserve">повышения </w:t>
      </w:r>
      <w:r w:rsidRPr="00DF1530">
        <w:rPr>
          <w:lang w:val="ru-RU"/>
        </w:rPr>
        <w:t>прозрачности</w:t>
      </w:r>
      <w:r w:rsidR="008C7A93" w:rsidRPr="00DF1530">
        <w:rPr>
          <w:lang w:val="ru-RU"/>
        </w:rPr>
        <w:t xml:space="preserve"> </w:t>
      </w:r>
      <w:r w:rsidRPr="00DF1530">
        <w:rPr>
          <w:lang w:val="ru-RU"/>
        </w:rPr>
        <w:t>процессов назначения и продвижения по службе</w:t>
      </w:r>
      <w:r w:rsidR="008C7A93" w:rsidRPr="00DF1530">
        <w:rPr>
          <w:lang w:val="ru-RU"/>
        </w:rPr>
        <w:t xml:space="preserve">, </w:t>
      </w:r>
      <w:r w:rsidRPr="00DF1530">
        <w:rPr>
          <w:lang w:val="ru-RU"/>
        </w:rPr>
        <w:t>повышения заработной платы и введения ротации судей</w:t>
      </w:r>
      <w:r w:rsidR="008C7A93" w:rsidRPr="00DF1530">
        <w:rPr>
          <w:lang w:val="ru-RU"/>
        </w:rPr>
        <w:t xml:space="preserve">, </w:t>
      </w:r>
      <w:r w:rsidRPr="00DF1530">
        <w:rPr>
          <w:lang w:val="ru-RU"/>
        </w:rPr>
        <w:t>а также обеспечения лучшей защиты от внешнего влияния в судебных делах</w:t>
      </w:r>
      <w:r w:rsidR="008C7A93" w:rsidRPr="00DF1530">
        <w:rPr>
          <w:lang w:val="ru-RU"/>
        </w:rPr>
        <w:t xml:space="preserve">. </w:t>
      </w:r>
    </w:p>
    <w:p w:rsidR="008C7A93" w:rsidRPr="00DF1530" w:rsidRDefault="007E0AF0" w:rsidP="008C7A93">
      <w:pPr>
        <w:pStyle w:val="a"/>
        <w:rPr>
          <w:lang w:val="ru-RU"/>
        </w:rPr>
      </w:pPr>
      <w:r w:rsidRPr="00DF1530">
        <w:rPr>
          <w:lang w:val="ru-RU"/>
        </w:rPr>
        <w:t xml:space="preserve">Выделять </w:t>
      </w:r>
      <w:r w:rsidR="008D34F6" w:rsidRPr="00DF1530">
        <w:rPr>
          <w:lang w:val="ru-RU"/>
        </w:rPr>
        <w:t>субсидии</w:t>
      </w:r>
      <w:r w:rsidR="008C7A93" w:rsidRPr="00DF1530">
        <w:rPr>
          <w:lang w:val="ru-RU"/>
        </w:rPr>
        <w:t xml:space="preserve"> </w:t>
      </w:r>
      <w:r w:rsidR="008D34F6" w:rsidRPr="00DF1530">
        <w:rPr>
          <w:lang w:val="ru-RU"/>
        </w:rPr>
        <w:t xml:space="preserve">для </w:t>
      </w:r>
      <w:r w:rsidR="00F736B7" w:rsidRPr="00DF1530">
        <w:rPr>
          <w:lang w:val="ru-RU"/>
        </w:rPr>
        <w:t>МСП</w:t>
      </w:r>
      <w:r w:rsidR="008C7A93" w:rsidRPr="00DF1530">
        <w:rPr>
          <w:lang w:val="ru-RU"/>
        </w:rPr>
        <w:t xml:space="preserve"> </w:t>
      </w:r>
      <w:r w:rsidR="008D34F6" w:rsidRPr="00DF1530">
        <w:rPr>
          <w:lang w:val="ru-RU"/>
        </w:rPr>
        <w:t>с целью организации непрерывного обучения</w:t>
      </w:r>
      <w:r w:rsidR="008C7A93" w:rsidRPr="00DF1530">
        <w:rPr>
          <w:lang w:val="ru-RU"/>
        </w:rPr>
        <w:t xml:space="preserve">, </w:t>
      </w:r>
      <w:r w:rsidR="008D34F6" w:rsidRPr="00DF1530">
        <w:rPr>
          <w:lang w:val="ru-RU"/>
        </w:rPr>
        <w:t>повы</w:t>
      </w:r>
      <w:r w:rsidRPr="00DF1530">
        <w:rPr>
          <w:lang w:val="ru-RU"/>
        </w:rPr>
        <w:t xml:space="preserve">сить </w:t>
      </w:r>
      <w:r w:rsidR="00D571E4" w:rsidRPr="00DF1530">
        <w:rPr>
          <w:lang w:val="ru-RU"/>
        </w:rPr>
        <w:t>качеств</w:t>
      </w:r>
      <w:r w:rsidRPr="00DF1530">
        <w:rPr>
          <w:lang w:val="ru-RU"/>
        </w:rPr>
        <w:t>о</w:t>
      </w:r>
      <w:r w:rsidR="008C7A93" w:rsidRPr="00DF1530">
        <w:rPr>
          <w:lang w:val="ru-RU"/>
        </w:rPr>
        <w:t xml:space="preserve"> </w:t>
      </w:r>
      <w:r w:rsidR="008D34F6" w:rsidRPr="00DF1530">
        <w:rPr>
          <w:lang w:val="ru-RU"/>
        </w:rPr>
        <w:t>обучения в системе профессионального обучения</w:t>
      </w:r>
      <w:r w:rsidR="008C7A93" w:rsidRPr="00DF1530">
        <w:rPr>
          <w:lang w:val="ru-RU"/>
        </w:rPr>
        <w:t xml:space="preserve">, </w:t>
      </w:r>
      <w:r w:rsidR="008D34F6" w:rsidRPr="00DF1530">
        <w:rPr>
          <w:lang w:val="ru-RU"/>
        </w:rPr>
        <w:t xml:space="preserve">улучшить систему профессионального обучения путем распределения большего числа студентов в </w:t>
      </w:r>
      <w:r w:rsidR="00F736B7" w:rsidRPr="00DF1530">
        <w:rPr>
          <w:lang w:val="ru-RU"/>
        </w:rPr>
        <w:t>МСП</w:t>
      </w:r>
      <w:r w:rsidR="008C7A93" w:rsidRPr="00DF1530">
        <w:rPr>
          <w:lang w:val="ru-RU"/>
        </w:rPr>
        <w:t xml:space="preserve">, </w:t>
      </w:r>
      <w:r w:rsidR="008D34F6" w:rsidRPr="00DF1530">
        <w:rPr>
          <w:lang w:val="ru-RU"/>
        </w:rPr>
        <w:t xml:space="preserve">интегрировать обучение </w:t>
      </w:r>
      <w:r w:rsidR="00834072" w:rsidRPr="00DF1530">
        <w:rPr>
          <w:lang w:val="ru-RU"/>
        </w:rPr>
        <w:t>предпринимательск</w:t>
      </w:r>
      <w:r w:rsidR="008D34F6" w:rsidRPr="00DF1530">
        <w:rPr>
          <w:lang w:val="ru-RU"/>
        </w:rPr>
        <w:t>ой</w:t>
      </w:r>
      <w:r w:rsidR="00834072" w:rsidRPr="00DF1530">
        <w:rPr>
          <w:lang w:val="ru-RU"/>
        </w:rPr>
        <w:t xml:space="preserve"> деятельност</w:t>
      </w:r>
      <w:r w:rsidR="008D34F6" w:rsidRPr="00DF1530">
        <w:rPr>
          <w:lang w:val="ru-RU"/>
        </w:rPr>
        <w:t>и</w:t>
      </w:r>
      <w:r w:rsidR="008C7A93" w:rsidRPr="00DF1530">
        <w:rPr>
          <w:lang w:val="ru-RU"/>
        </w:rPr>
        <w:t xml:space="preserve"> </w:t>
      </w:r>
      <w:r w:rsidR="008D34F6" w:rsidRPr="00DF1530">
        <w:rPr>
          <w:lang w:val="ru-RU"/>
        </w:rPr>
        <w:t>во всей образовательной системе</w:t>
      </w:r>
      <w:r w:rsidR="008C7A93" w:rsidRPr="00DF1530">
        <w:rPr>
          <w:lang w:val="ru-RU"/>
        </w:rPr>
        <w:t xml:space="preserve">, </w:t>
      </w:r>
      <w:r w:rsidR="008D34F6" w:rsidRPr="00DF1530">
        <w:rPr>
          <w:lang w:val="ru-RU"/>
        </w:rPr>
        <w:t xml:space="preserve">а также формировать правильную культуру предпринимательства путем </w:t>
      </w:r>
      <w:r w:rsidR="00DF7C45" w:rsidRPr="00DF1530">
        <w:rPr>
          <w:lang w:val="ru-RU"/>
        </w:rPr>
        <w:lastRenderedPageBreak/>
        <w:t xml:space="preserve">активной пропаганды </w:t>
      </w:r>
      <w:r w:rsidR="00834072" w:rsidRPr="00DF1530">
        <w:rPr>
          <w:lang w:val="ru-RU"/>
        </w:rPr>
        <w:t>предпринимательск</w:t>
      </w:r>
      <w:r w:rsidR="008D34F6" w:rsidRPr="00DF1530">
        <w:rPr>
          <w:lang w:val="ru-RU"/>
        </w:rPr>
        <w:t>ой</w:t>
      </w:r>
      <w:r w:rsidR="00834072" w:rsidRPr="00DF1530">
        <w:rPr>
          <w:lang w:val="ru-RU"/>
        </w:rPr>
        <w:t xml:space="preserve"> деятельност</w:t>
      </w:r>
      <w:r w:rsidR="008D34F6" w:rsidRPr="00DF1530">
        <w:rPr>
          <w:lang w:val="ru-RU"/>
        </w:rPr>
        <w:t>и</w:t>
      </w:r>
      <w:r w:rsidR="008C7A93" w:rsidRPr="00DF1530">
        <w:rPr>
          <w:lang w:val="ru-RU"/>
        </w:rPr>
        <w:t xml:space="preserve"> </w:t>
      </w:r>
      <w:r w:rsidR="008D34F6" w:rsidRPr="00DF1530">
        <w:rPr>
          <w:lang w:val="ru-RU"/>
        </w:rPr>
        <w:t xml:space="preserve">в качестве эффективной практически осуществимой экономической </w:t>
      </w:r>
      <w:r w:rsidR="00834072" w:rsidRPr="00DF1530">
        <w:rPr>
          <w:lang w:val="ru-RU"/>
        </w:rPr>
        <w:t>деятельност</w:t>
      </w:r>
      <w:r w:rsidR="008D34F6" w:rsidRPr="00DF1530">
        <w:rPr>
          <w:lang w:val="ru-RU"/>
        </w:rPr>
        <w:t>и</w:t>
      </w:r>
      <w:r w:rsidR="008C7A93" w:rsidRPr="00DF1530">
        <w:rPr>
          <w:lang w:val="ru-RU"/>
        </w:rPr>
        <w:t xml:space="preserve">. </w:t>
      </w:r>
    </w:p>
    <w:p w:rsidR="008C7A93" w:rsidRPr="00DF1530" w:rsidRDefault="007E0AF0" w:rsidP="008C7A93">
      <w:pPr>
        <w:pStyle w:val="a"/>
        <w:rPr>
          <w:lang w:val="ru-RU"/>
        </w:rPr>
      </w:pPr>
      <w:r w:rsidRPr="00DF1530">
        <w:rPr>
          <w:lang w:val="ru-RU"/>
        </w:rPr>
        <w:t xml:space="preserve">Осуществлять инвестиции для устранения недостатков в основной транспортной инфраструктуре, влияющих на </w:t>
      </w:r>
      <w:r w:rsidR="00F736B7" w:rsidRPr="00DF1530">
        <w:rPr>
          <w:lang w:val="ru-RU"/>
        </w:rPr>
        <w:t>МСП</w:t>
      </w:r>
      <w:r w:rsidRPr="00DF1530">
        <w:rPr>
          <w:lang w:val="ru-RU"/>
        </w:rPr>
        <w:t>,</w:t>
      </w:r>
      <w:r w:rsidR="008C7A93" w:rsidRPr="00DF1530">
        <w:rPr>
          <w:lang w:val="ru-RU"/>
        </w:rPr>
        <w:t xml:space="preserve"> </w:t>
      </w:r>
      <w:r w:rsidRPr="00DF1530">
        <w:rPr>
          <w:lang w:val="ru-RU"/>
        </w:rPr>
        <w:t xml:space="preserve">и улучшать энергоснабжение и водоснабжение </w:t>
      </w:r>
      <w:r w:rsidR="00F736B7" w:rsidRPr="00DF1530">
        <w:rPr>
          <w:lang w:val="ru-RU"/>
        </w:rPr>
        <w:t>МСП</w:t>
      </w:r>
      <w:r w:rsidR="008C7A93" w:rsidRPr="00DF1530">
        <w:rPr>
          <w:lang w:val="ru-RU"/>
        </w:rPr>
        <w:t xml:space="preserve"> </w:t>
      </w:r>
      <w:r w:rsidRPr="00DF1530">
        <w:rPr>
          <w:lang w:val="ru-RU"/>
        </w:rPr>
        <w:t>путем дальнейшей приватизации</w:t>
      </w:r>
      <w:r w:rsidR="008C7A93" w:rsidRPr="00DF1530">
        <w:rPr>
          <w:lang w:val="ru-RU"/>
        </w:rPr>
        <w:t xml:space="preserve">, </w:t>
      </w:r>
      <w:r w:rsidRPr="00DF1530">
        <w:rPr>
          <w:lang w:val="ru-RU"/>
        </w:rPr>
        <w:t xml:space="preserve">установления четких рабочих целей для коммунальных служб по малым </w:t>
      </w:r>
      <w:r w:rsidR="00297F6F" w:rsidRPr="00DF1530">
        <w:rPr>
          <w:lang w:val="ru-RU"/>
        </w:rPr>
        <w:t>предприятия</w:t>
      </w:r>
      <w:r w:rsidRPr="00DF1530">
        <w:rPr>
          <w:lang w:val="ru-RU"/>
        </w:rPr>
        <w:t>м</w:t>
      </w:r>
      <w:r w:rsidR="008C7A93" w:rsidRPr="00DF1530">
        <w:rPr>
          <w:lang w:val="ru-RU"/>
        </w:rPr>
        <w:t xml:space="preserve"> </w:t>
      </w:r>
      <w:r w:rsidRPr="00DF1530">
        <w:rPr>
          <w:lang w:val="ru-RU"/>
        </w:rPr>
        <w:t xml:space="preserve">и применения финансовых санкций, если эти цели не </w:t>
      </w:r>
      <w:r w:rsidR="00F3514D" w:rsidRPr="00DF1530">
        <w:rPr>
          <w:lang w:val="ru-RU"/>
        </w:rPr>
        <w:t xml:space="preserve">будут </w:t>
      </w:r>
      <w:r w:rsidRPr="00DF1530">
        <w:rPr>
          <w:lang w:val="ru-RU"/>
        </w:rPr>
        <w:t>достигнуты</w:t>
      </w:r>
      <w:r w:rsidR="008C7A93" w:rsidRPr="00DF1530">
        <w:rPr>
          <w:lang w:val="ru-RU"/>
        </w:rPr>
        <w:t xml:space="preserve">. </w:t>
      </w:r>
    </w:p>
    <w:p w:rsidR="008C7A93" w:rsidRPr="00DF1530" w:rsidRDefault="003E6F53" w:rsidP="008C7A93">
      <w:pPr>
        <w:pStyle w:val="a"/>
        <w:rPr>
          <w:lang w:val="ru-RU"/>
        </w:rPr>
      </w:pPr>
      <w:r w:rsidRPr="00DF1530">
        <w:rPr>
          <w:lang w:val="ru-RU"/>
        </w:rPr>
        <w:t xml:space="preserve">Сосредоточить поддержку </w:t>
      </w:r>
      <w:r w:rsidR="00D3769A" w:rsidRPr="00DF1530">
        <w:rPr>
          <w:lang w:val="ru-RU"/>
        </w:rPr>
        <w:t>инноваци</w:t>
      </w:r>
      <w:r w:rsidRPr="00DF1530">
        <w:rPr>
          <w:lang w:val="ru-RU"/>
        </w:rPr>
        <w:t>й</w:t>
      </w:r>
      <w:r w:rsidR="008C7A93" w:rsidRPr="00DF1530">
        <w:rPr>
          <w:lang w:val="ru-RU"/>
        </w:rPr>
        <w:t xml:space="preserve"> </w:t>
      </w:r>
      <w:r w:rsidRPr="00DF1530">
        <w:rPr>
          <w:lang w:val="ru-RU"/>
        </w:rPr>
        <w:t xml:space="preserve">на достижении рыночной </w:t>
      </w:r>
      <w:r w:rsidR="00472932" w:rsidRPr="00DF1530">
        <w:rPr>
          <w:lang w:val="ru-RU"/>
        </w:rPr>
        <w:t>коммерциализаци</w:t>
      </w:r>
      <w:r w:rsidRPr="00DF1530">
        <w:rPr>
          <w:lang w:val="ru-RU"/>
        </w:rPr>
        <w:t>и</w:t>
      </w:r>
      <w:r w:rsidR="008C7A93" w:rsidRPr="00DF1530">
        <w:rPr>
          <w:lang w:val="ru-RU"/>
        </w:rPr>
        <w:t xml:space="preserve"> </w:t>
      </w:r>
      <w:r w:rsidRPr="00DF1530">
        <w:rPr>
          <w:lang w:val="ru-RU"/>
        </w:rPr>
        <w:t>исследований</w:t>
      </w:r>
      <w:r w:rsidR="008C7A93" w:rsidRPr="00DF1530">
        <w:rPr>
          <w:lang w:val="ru-RU"/>
        </w:rPr>
        <w:t xml:space="preserve"> </w:t>
      </w:r>
      <w:r w:rsidRPr="00DF1530">
        <w:rPr>
          <w:lang w:val="ru-RU"/>
        </w:rPr>
        <w:t>и улучшить систему охраны прав на интеллектуальную собственность в плане ясности закона и его принудительного исполнения</w:t>
      </w:r>
      <w:r w:rsidR="008C7A93" w:rsidRPr="00DF1530">
        <w:rPr>
          <w:lang w:val="ru-RU"/>
        </w:rPr>
        <w:t xml:space="preserve">. </w:t>
      </w:r>
    </w:p>
    <w:p w:rsidR="008C7A93" w:rsidRPr="00DF1530" w:rsidRDefault="00E66930" w:rsidP="008C7A93">
      <w:pPr>
        <w:pStyle w:val="a"/>
        <w:rPr>
          <w:lang w:val="ru-RU"/>
        </w:rPr>
      </w:pPr>
      <w:r w:rsidRPr="00DF1530">
        <w:rPr>
          <w:lang w:val="ru-RU"/>
        </w:rPr>
        <w:t xml:space="preserve">Повысить доступность внешнего финансирования для </w:t>
      </w:r>
      <w:r w:rsidR="00F736B7" w:rsidRPr="00DF1530">
        <w:rPr>
          <w:lang w:val="ru-RU"/>
        </w:rPr>
        <w:t>МСП</w:t>
      </w:r>
      <w:r w:rsidR="008C7A93" w:rsidRPr="00DF1530">
        <w:rPr>
          <w:lang w:val="ru-RU"/>
        </w:rPr>
        <w:t xml:space="preserve"> </w:t>
      </w:r>
      <w:r w:rsidRPr="00DF1530">
        <w:rPr>
          <w:lang w:val="ru-RU"/>
        </w:rPr>
        <w:t xml:space="preserve">и </w:t>
      </w:r>
      <w:r w:rsidR="00347E3A" w:rsidRPr="00DF1530">
        <w:rPr>
          <w:lang w:val="ru-RU"/>
        </w:rPr>
        <w:t>предпринимател</w:t>
      </w:r>
      <w:r w:rsidRPr="00DF1530">
        <w:rPr>
          <w:lang w:val="ru-RU"/>
        </w:rPr>
        <w:t>ей</w:t>
      </w:r>
      <w:r w:rsidR="008C7A93" w:rsidRPr="00DF1530">
        <w:rPr>
          <w:lang w:val="ru-RU"/>
        </w:rPr>
        <w:t xml:space="preserve"> </w:t>
      </w:r>
      <w:r w:rsidRPr="00DF1530">
        <w:rPr>
          <w:lang w:val="ru-RU"/>
        </w:rPr>
        <w:t xml:space="preserve">путем большей правовой защиты для </w:t>
      </w:r>
      <w:r w:rsidR="00175A0E" w:rsidRPr="00DF1530">
        <w:rPr>
          <w:lang w:val="ru-RU"/>
        </w:rPr>
        <w:t>инвестор</w:t>
      </w:r>
      <w:r w:rsidRPr="00DF1530">
        <w:rPr>
          <w:lang w:val="ru-RU"/>
        </w:rPr>
        <w:t>ов</w:t>
      </w:r>
      <w:r w:rsidR="008C7A93" w:rsidRPr="00DF1530">
        <w:rPr>
          <w:lang w:val="ru-RU"/>
        </w:rPr>
        <w:t xml:space="preserve"> </w:t>
      </w:r>
      <w:r w:rsidRPr="00DF1530">
        <w:rPr>
          <w:lang w:val="ru-RU"/>
        </w:rPr>
        <w:t xml:space="preserve">и расширенной кредитной информации по </w:t>
      </w:r>
      <w:r w:rsidR="00297F6F" w:rsidRPr="00DF1530">
        <w:rPr>
          <w:lang w:val="ru-RU"/>
        </w:rPr>
        <w:t>предприятия</w:t>
      </w:r>
      <w:r w:rsidRPr="00DF1530">
        <w:rPr>
          <w:lang w:val="ru-RU"/>
        </w:rPr>
        <w:t xml:space="preserve">м и </w:t>
      </w:r>
      <w:r w:rsidR="00347E3A" w:rsidRPr="00DF1530">
        <w:rPr>
          <w:lang w:val="ru-RU"/>
        </w:rPr>
        <w:t>предпринимател</w:t>
      </w:r>
      <w:r w:rsidRPr="00DF1530">
        <w:rPr>
          <w:lang w:val="ru-RU"/>
        </w:rPr>
        <w:t>ям</w:t>
      </w:r>
      <w:r w:rsidR="008C7A93" w:rsidRPr="00DF1530">
        <w:rPr>
          <w:lang w:val="ru-RU"/>
        </w:rPr>
        <w:t xml:space="preserve">.  </w:t>
      </w:r>
    </w:p>
    <w:p w:rsidR="008C7A93" w:rsidRPr="00DF1530" w:rsidRDefault="008C7A93" w:rsidP="008C7A93">
      <w:pPr>
        <w:pStyle w:val="21"/>
        <w:rPr>
          <w:lang w:val="ru-RU"/>
        </w:rPr>
      </w:pPr>
      <w:bookmarkStart w:id="57" w:name="_Toc411535418"/>
      <w:bookmarkStart w:id="58" w:name="_Toc369561405"/>
      <w:bookmarkStart w:id="59" w:name="_Toc369603438"/>
      <w:bookmarkStart w:id="60" w:name="_Toc369603709"/>
      <w:bookmarkStart w:id="61" w:name="_Toc369604124"/>
      <w:bookmarkStart w:id="62" w:name="_Toc369607794"/>
      <w:bookmarkStart w:id="63" w:name="_Toc369607989"/>
      <w:bookmarkStart w:id="64" w:name="_Toc369609369"/>
      <w:bookmarkStart w:id="65" w:name="_Toc369609962"/>
      <w:bookmarkStart w:id="66" w:name="_Toc369614575"/>
      <w:bookmarkStart w:id="67" w:name="_Toc369614749"/>
      <w:bookmarkStart w:id="68" w:name="_Toc369614929"/>
      <w:bookmarkStart w:id="69" w:name="_Toc369616481"/>
      <w:bookmarkStart w:id="70" w:name="_Toc369682532"/>
      <w:bookmarkStart w:id="71" w:name="_Toc369709745"/>
      <w:r w:rsidRPr="00DF1530">
        <w:rPr>
          <w:lang w:val="ru-RU"/>
        </w:rPr>
        <w:t xml:space="preserve">1.3. </w:t>
      </w:r>
      <w:r w:rsidRPr="00DF1530">
        <w:rPr>
          <w:lang w:val="ru-RU"/>
        </w:rPr>
        <w:tab/>
      </w:r>
      <w:r w:rsidR="00E66930" w:rsidRPr="00DF1530">
        <w:rPr>
          <w:lang w:val="ru-RU"/>
        </w:rPr>
        <w:t xml:space="preserve">Стратегия в области </w:t>
      </w:r>
      <w:r w:rsidR="00487FF6">
        <w:rPr>
          <w:lang w:val="ru-RU"/>
        </w:rPr>
        <w:t>госрегулирования</w:t>
      </w:r>
      <w:r w:rsidR="00E66930" w:rsidRPr="00DF1530">
        <w:rPr>
          <w:lang w:val="ru-RU"/>
        </w:rPr>
        <w:t xml:space="preserve"> и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7A5F4C">
        <w:rPr>
          <w:lang w:val="ru-RU"/>
        </w:rPr>
        <w:t>механизмы ее реализации</w:t>
      </w:r>
    </w:p>
    <w:p w:rsidR="008C7A93" w:rsidRPr="00DF1530" w:rsidRDefault="00E66930" w:rsidP="008C7A93">
      <w:pPr>
        <w:pStyle w:val="31"/>
        <w:rPr>
          <w:lang w:val="ru-RU"/>
        </w:rPr>
      </w:pPr>
      <w:r w:rsidRPr="00DF1530">
        <w:rPr>
          <w:lang w:val="ru-RU"/>
        </w:rPr>
        <w:t xml:space="preserve">Повышение внимания в политике к </w:t>
      </w:r>
      <w:r w:rsidR="00F736B7" w:rsidRPr="00DF1530">
        <w:rPr>
          <w:lang w:val="ru-RU"/>
        </w:rPr>
        <w:t>МСП</w:t>
      </w:r>
      <w:r w:rsidR="008C7A93" w:rsidRPr="00DF1530">
        <w:rPr>
          <w:lang w:val="ru-RU"/>
        </w:rPr>
        <w:t xml:space="preserve"> </w:t>
      </w:r>
      <w:r w:rsidRPr="00DF1530">
        <w:rPr>
          <w:lang w:val="ru-RU"/>
        </w:rPr>
        <w:t xml:space="preserve">и </w:t>
      </w:r>
      <w:r w:rsidR="00834072" w:rsidRPr="00DF1530">
        <w:rPr>
          <w:lang w:val="ru-RU"/>
        </w:rPr>
        <w:t>предпринимательс</w:t>
      </w:r>
      <w:r w:rsidRPr="00DF1530">
        <w:rPr>
          <w:lang w:val="ru-RU"/>
        </w:rPr>
        <w:t>кой</w:t>
      </w:r>
      <w:r w:rsidR="00834072"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E112F" w:rsidRPr="00DF1530">
        <w:rPr>
          <w:lang w:val="ru-RU"/>
        </w:rPr>
        <w:t xml:space="preserve">В государственной политике все в большей степени признается важность укрепления </w:t>
      </w:r>
      <w:r w:rsidR="00F736B7" w:rsidRPr="00DF1530">
        <w:rPr>
          <w:lang w:val="ru-RU"/>
        </w:rPr>
        <w:t>МСП</w:t>
      </w:r>
      <w:r w:rsidR="008C7A93" w:rsidRPr="00DF1530">
        <w:rPr>
          <w:lang w:val="ru-RU"/>
        </w:rPr>
        <w:t xml:space="preserve"> </w:t>
      </w:r>
      <w:r w:rsidR="005E112F" w:rsidRPr="00DF1530">
        <w:rPr>
          <w:lang w:val="ru-RU"/>
        </w:rPr>
        <w:t xml:space="preserve">и </w:t>
      </w:r>
      <w:r w:rsidR="00834072" w:rsidRPr="00DF1530">
        <w:rPr>
          <w:lang w:val="ru-RU"/>
        </w:rPr>
        <w:t>предпринимательск</w:t>
      </w:r>
      <w:r w:rsidR="005E112F" w:rsidRPr="00DF1530">
        <w:rPr>
          <w:lang w:val="ru-RU"/>
        </w:rPr>
        <w:t>ой</w:t>
      </w:r>
      <w:r w:rsidR="00834072" w:rsidRPr="00DF1530">
        <w:rPr>
          <w:lang w:val="ru-RU"/>
        </w:rPr>
        <w:t xml:space="preserve"> деятельност</w:t>
      </w:r>
      <w:r w:rsidR="005E112F" w:rsidRPr="00DF1530">
        <w:rPr>
          <w:lang w:val="ru-RU"/>
        </w:rPr>
        <w:t>и</w:t>
      </w:r>
      <w:r w:rsidR="008C7A93" w:rsidRPr="00DF1530">
        <w:rPr>
          <w:lang w:val="ru-RU"/>
        </w:rPr>
        <w:t xml:space="preserve"> </w:t>
      </w:r>
      <w:r w:rsidR="005E112F" w:rsidRPr="00DF1530">
        <w:rPr>
          <w:lang w:val="ru-RU"/>
        </w:rPr>
        <w:t xml:space="preserve">для экономического развития </w:t>
      </w:r>
      <w:r w:rsidR="00701FAE" w:rsidRPr="00DF1530">
        <w:rPr>
          <w:lang w:val="ru-RU"/>
        </w:rPr>
        <w:t>Российской Федерации</w:t>
      </w:r>
      <w:r w:rsidR="008C7A93" w:rsidRPr="00DF1530">
        <w:rPr>
          <w:lang w:val="ru-RU"/>
        </w:rPr>
        <w:t xml:space="preserve">. </w:t>
      </w:r>
      <w:r w:rsidR="005C14C7" w:rsidRPr="00DF1530">
        <w:rPr>
          <w:lang w:val="ru-RU"/>
        </w:rPr>
        <w:t xml:space="preserve">Хороший стимул был заявлен президентом </w:t>
      </w:r>
      <w:r w:rsidR="00701FAE" w:rsidRPr="00DF1530">
        <w:rPr>
          <w:lang w:val="ru-RU"/>
        </w:rPr>
        <w:t>Российской Федерации</w:t>
      </w:r>
      <w:r w:rsidR="008C7A93" w:rsidRPr="00DF1530">
        <w:rPr>
          <w:lang w:val="ru-RU"/>
        </w:rPr>
        <w:t xml:space="preserve">, </w:t>
      </w:r>
      <w:r w:rsidR="005C14C7" w:rsidRPr="00DF1530">
        <w:rPr>
          <w:lang w:val="ru-RU"/>
        </w:rPr>
        <w:t xml:space="preserve">который поставил цель увеличения доли российского </w:t>
      </w:r>
      <w:r w:rsidR="00592D7B" w:rsidRPr="00DF1530">
        <w:rPr>
          <w:lang w:val="ru-RU"/>
        </w:rPr>
        <w:t>ВВП</w:t>
      </w:r>
      <w:r w:rsidR="005C14C7" w:rsidRPr="00DF1530">
        <w:rPr>
          <w:lang w:val="ru-RU"/>
        </w:rPr>
        <w:t>,</w:t>
      </w:r>
      <w:r w:rsidR="008C7A93" w:rsidRPr="00DF1530">
        <w:rPr>
          <w:lang w:val="ru-RU"/>
        </w:rPr>
        <w:t xml:space="preserve"> </w:t>
      </w:r>
      <w:r w:rsidR="005C14C7" w:rsidRPr="00DF1530">
        <w:rPr>
          <w:lang w:val="ru-RU"/>
        </w:rPr>
        <w:t xml:space="preserve">создаваемого </w:t>
      </w:r>
      <w:r w:rsidR="00F736B7" w:rsidRPr="00DF1530">
        <w:rPr>
          <w:lang w:val="ru-RU"/>
        </w:rPr>
        <w:t>МСП</w:t>
      </w:r>
      <w:r w:rsidR="005C14C7" w:rsidRPr="00DF1530">
        <w:rPr>
          <w:lang w:val="ru-RU"/>
        </w:rPr>
        <w:t>,</w:t>
      </w:r>
      <w:r w:rsidR="008C7A93" w:rsidRPr="00DF1530">
        <w:rPr>
          <w:lang w:val="ru-RU"/>
        </w:rPr>
        <w:t xml:space="preserve"> </w:t>
      </w:r>
      <w:r w:rsidR="005C14C7" w:rsidRPr="00DF1530">
        <w:rPr>
          <w:lang w:val="ru-RU"/>
        </w:rPr>
        <w:t xml:space="preserve">с </w:t>
      </w:r>
      <w:r w:rsidR="008C7A93" w:rsidRPr="00DF1530">
        <w:rPr>
          <w:lang w:val="ru-RU"/>
        </w:rPr>
        <w:t xml:space="preserve">25% </w:t>
      </w:r>
      <w:r w:rsidR="00592D7B" w:rsidRPr="00DF1530">
        <w:rPr>
          <w:lang w:val="ru-RU"/>
        </w:rPr>
        <w:t>ВВП</w:t>
      </w:r>
      <w:r w:rsidR="008C7A93" w:rsidRPr="00DF1530">
        <w:rPr>
          <w:lang w:val="ru-RU"/>
        </w:rPr>
        <w:t xml:space="preserve"> </w:t>
      </w:r>
      <w:r w:rsidR="00F736B7" w:rsidRPr="00DF1530">
        <w:rPr>
          <w:lang w:val="ru-RU"/>
        </w:rPr>
        <w:t>в 2012 году</w:t>
      </w:r>
      <w:r w:rsidR="008C7A93" w:rsidRPr="00DF1530">
        <w:rPr>
          <w:lang w:val="ru-RU"/>
        </w:rPr>
        <w:t xml:space="preserve"> </w:t>
      </w:r>
      <w:r w:rsidR="005C14C7" w:rsidRPr="00DF1530">
        <w:rPr>
          <w:lang w:val="ru-RU"/>
        </w:rPr>
        <w:t xml:space="preserve">до </w:t>
      </w:r>
      <w:r w:rsidR="008C7A93" w:rsidRPr="00DF1530">
        <w:rPr>
          <w:lang w:val="ru-RU"/>
        </w:rPr>
        <w:t xml:space="preserve">50% </w:t>
      </w:r>
      <w:r w:rsidR="005C14C7" w:rsidRPr="00DF1530">
        <w:rPr>
          <w:lang w:val="ru-RU"/>
        </w:rPr>
        <w:t>в</w:t>
      </w:r>
      <w:r w:rsidR="008C7A93" w:rsidRPr="00DF1530">
        <w:rPr>
          <w:lang w:val="ru-RU"/>
        </w:rPr>
        <w:t xml:space="preserve"> 2020</w:t>
      </w:r>
      <w:r w:rsidR="005C14C7" w:rsidRPr="00DF1530">
        <w:rPr>
          <w:lang w:val="ru-RU"/>
        </w:rPr>
        <w:t xml:space="preserve"> году</w:t>
      </w:r>
      <w:r w:rsidR="008C7A93" w:rsidRPr="00DF1530">
        <w:rPr>
          <w:lang w:val="ru-RU"/>
        </w:rPr>
        <w:t xml:space="preserve">. </w:t>
      </w:r>
      <w:r w:rsidR="005C14C7" w:rsidRPr="00DF1530">
        <w:rPr>
          <w:lang w:val="ru-RU"/>
        </w:rPr>
        <w:t xml:space="preserve">Для этого проводятся серьезные реформы в </w:t>
      </w:r>
      <w:r w:rsidR="008F2340" w:rsidRPr="00DF1530">
        <w:rPr>
          <w:lang w:val="ru-RU"/>
        </w:rPr>
        <w:t>системны</w:t>
      </w:r>
      <w:r w:rsidR="005C14C7" w:rsidRPr="00DF1530">
        <w:rPr>
          <w:lang w:val="ru-RU"/>
        </w:rPr>
        <w:t>х</w:t>
      </w:r>
      <w:r w:rsidR="008F2340" w:rsidRPr="00DF1530">
        <w:rPr>
          <w:lang w:val="ru-RU"/>
        </w:rPr>
        <w:t xml:space="preserve"> условия</w:t>
      </w:r>
      <w:r w:rsidR="005C14C7" w:rsidRPr="00DF1530">
        <w:rPr>
          <w:lang w:val="ru-RU"/>
        </w:rPr>
        <w:t>х</w:t>
      </w:r>
      <w:r w:rsidR="008C7A93" w:rsidRPr="00DF1530">
        <w:rPr>
          <w:lang w:val="ru-RU"/>
        </w:rPr>
        <w:t xml:space="preserve"> </w:t>
      </w:r>
      <w:r w:rsidR="005C14C7" w:rsidRPr="00DF1530">
        <w:rPr>
          <w:lang w:val="ru-RU"/>
        </w:rPr>
        <w:t xml:space="preserve">и расширенные меры в рамках государственной программы по </w:t>
      </w:r>
      <w:r w:rsidR="00F736B7" w:rsidRPr="00DF1530">
        <w:rPr>
          <w:lang w:val="ru-RU"/>
        </w:rPr>
        <w:t>МСП</w:t>
      </w:r>
      <w:r w:rsidR="008C7A93" w:rsidRPr="00DF1530">
        <w:rPr>
          <w:lang w:val="ru-RU"/>
        </w:rPr>
        <w:t xml:space="preserve"> </w:t>
      </w:r>
      <w:r w:rsidR="005C14C7" w:rsidRPr="00DF1530">
        <w:rPr>
          <w:lang w:val="ru-RU"/>
        </w:rPr>
        <w:t xml:space="preserve">и </w:t>
      </w:r>
      <w:r w:rsidR="00834072" w:rsidRPr="00DF1530">
        <w:rPr>
          <w:lang w:val="ru-RU"/>
        </w:rPr>
        <w:t>предпринимательск</w:t>
      </w:r>
      <w:r w:rsidR="005C14C7" w:rsidRPr="00DF1530">
        <w:rPr>
          <w:lang w:val="ru-RU"/>
        </w:rPr>
        <w:t>ой</w:t>
      </w:r>
      <w:r w:rsidR="00834072" w:rsidRPr="00DF1530">
        <w:rPr>
          <w:lang w:val="ru-RU"/>
        </w:rPr>
        <w:t xml:space="preserve"> деятельност</w:t>
      </w:r>
      <w:r w:rsidR="005C14C7" w:rsidRPr="00DF1530">
        <w:rPr>
          <w:lang w:val="ru-RU"/>
        </w:rPr>
        <w:t>и</w:t>
      </w:r>
      <w:r w:rsidR="008C7A93" w:rsidRPr="00DF1530">
        <w:rPr>
          <w:lang w:val="ru-RU"/>
        </w:rPr>
        <w:t xml:space="preserve"> </w:t>
      </w:r>
      <w:r w:rsidR="005C14C7" w:rsidRPr="00DF1530">
        <w:rPr>
          <w:lang w:val="ru-RU"/>
        </w:rPr>
        <w:t>в ряде государственных министерств и ведомств</w:t>
      </w:r>
      <w:r w:rsidR="008C7A93" w:rsidRPr="00DF1530">
        <w:rPr>
          <w:lang w:val="ru-RU"/>
        </w:rPr>
        <w:t xml:space="preserve">. </w:t>
      </w:r>
    </w:p>
    <w:p w:rsidR="008C7A93" w:rsidRPr="00DF1530" w:rsidRDefault="00B83DB5" w:rsidP="008C7A93">
      <w:pPr>
        <w:pStyle w:val="31"/>
        <w:rPr>
          <w:lang w:val="ru-RU"/>
        </w:rPr>
      </w:pPr>
      <w:r w:rsidRPr="00DF1530">
        <w:rPr>
          <w:lang w:val="ru-RU"/>
        </w:rPr>
        <w:t xml:space="preserve">Четкая правовая система и система координации для политики по </w:t>
      </w:r>
      <w:r w:rsidR="00834072" w:rsidRPr="00DF1530">
        <w:rPr>
          <w:lang w:val="ru-RU"/>
        </w:rPr>
        <w:t>МСП</w:t>
      </w:r>
      <w:r w:rsidR="008C7A93" w:rsidRPr="00DF1530">
        <w:rPr>
          <w:lang w:val="ru-RU"/>
        </w:rPr>
        <w:t xml:space="preserve"> </w:t>
      </w:r>
      <w:r w:rsidRPr="00DF1530">
        <w:rPr>
          <w:lang w:val="ru-RU"/>
        </w:rPr>
        <w:t xml:space="preserve">и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83DB5" w:rsidRPr="00DF1530">
        <w:rPr>
          <w:lang w:val="ru-RU"/>
        </w:rPr>
        <w:t>Предусмотрен</w:t>
      </w:r>
      <w:r w:rsidR="00EB1372" w:rsidRPr="00DF1530">
        <w:rPr>
          <w:lang w:val="ru-RU"/>
        </w:rPr>
        <w:t>ы</w:t>
      </w:r>
      <w:r w:rsidR="00B83DB5" w:rsidRPr="00DF1530">
        <w:rPr>
          <w:lang w:val="ru-RU"/>
        </w:rPr>
        <w:t xml:space="preserve"> четкая координация</w:t>
      </w:r>
      <w:r w:rsidR="008C7A93" w:rsidRPr="00DF1530">
        <w:rPr>
          <w:lang w:val="ru-RU"/>
        </w:rPr>
        <w:t xml:space="preserve"> </w:t>
      </w:r>
      <w:r w:rsidR="00EB1372" w:rsidRPr="00DF1530">
        <w:rPr>
          <w:lang w:val="ru-RU"/>
        </w:rPr>
        <w:t xml:space="preserve">и руководство поддержкой политики по </w:t>
      </w:r>
      <w:r w:rsidR="00834072" w:rsidRPr="00DF1530">
        <w:rPr>
          <w:lang w:val="ru-RU"/>
        </w:rPr>
        <w:t>МСП</w:t>
      </w:r>
      <w:r w:rsidR="008C7A93" w:rsidRPr="00DF1530">
        <w:rPr>
          <w:lang w:val="ru-RU"/>
        </w:rPr>
        <w:t xml:space="preserve"> </w:t>
      </w:r>
      <w:r w:rsidR="00EB1372" w:rsidRPr="00DF1530">
        <w:rPr>
          <w:lang w:val="ru-RU"/>
        </w:rPr>
        <w:t xml:space="preserve">и </w:t>
      </w:r>
      <w:r w:rsidR="00834072" w:rsidRPr="00DF1530">
        <w:rPr>
          <w:lang w:val="ru-RU"/>
        </w:rPr>
        <w:t>предпринимательск</w:t>
      </w:r>
      <w:r w:rsidR="00EB1372" w:rsidRPr="00DF1530">
        <w:rPr>
          <w:lang w:val="ru-RU"/>
        </w:rPr>
        <w:t>ой</w:t>
      </w:r>
      <w:r w:rsidR="00834072" w:rsidRPr="00DF1530">
        <w:rPr>
          <w:lang w:val="ru-RU"/>
        </w:rPr>
        <w:t xml:space="preserve"> деятельност</w:t>
      </w:r>
      <w:r w:rsidR="00EB1372" w:rsidRPr="00DF1530">
        <w:rPr>
          <w:lang w:val="ru-RU"/>
        </w:rPr>
        <w:t>и</w:t>
      </w:r>
      <w:r w:rsidR="008C7A93" w:rsidRPr="00DF1530">
        <w:rPr>
          <w:lang w:val="ru-RU"/>
        </w:rPr>
        <w:t xml:space="preserve"> </w:t>
      </w:r>
      <w:r w:rsidR="00EB1372" w:rsidRPr="00DF1530">
        <w:rPr>
          <w:lang w:val="ru-RU"/>
        </w:rPr>
        <w:t>в федеральном</w:t>
      </w:r>
      <w:r w:rsidR="008C7A93" w:rsidRPr="00DF1530">
        <w:rPr>
          <w:lang w:val="ru-RU"/>
        </w:rPr>
        <w:t xml:space="preserve"> </w:t>
      </w:r>
      <w:r w:rsidR="00CD71D1" w:rsidRPr="00DF1530">
        <w:rPr>
          <w:lang w:val="ru-RU"/>
        </w:rPr>
        <w:t>правительств</w:t>
      </w:r>
      <w:r w:rsidR="00EB1372" w:rsidRPr="00DF1530">
        <w:rPr>
          <w:lang w:val="ru-RU"/>
        </w:rPr>
        <w:t>е</w:t>
      </w:r>
      <w:r w:rsidR="008C7A93" w:rsidRPr="00DF1530">
        <w:rPr>
          <w:lang w:val="ru-RU"/>
        </w:rPr>
        <w:t xml:space="preserve">. </w:t>
      </w:r>
      <w:r w:rsidR="00EB1372" w:rsidRPr="00DF1530">
        <w:rPr>
          <w:lang w:val="ru-RU"/>
        </w:rPr>
        <w:t>Правовая основа</w:t>
      </w:r>
      <w:r w:rsidR="008C7A93" w:rsidRPr="00DF1530">
        <w:rPr>
          <w:lang w:val="ru-RU"/>
        </w:rPr>
        <w:t xml:space="preserve"> </w:t>
      </w:r>
      <w:r w:rsidR="00EB1372" w:rsidRPr="00DF1530">
        <w:rPr>
          <w:lang w:val="ru-RU"/>
        </w:rPr>
        <w:t xml:space="preserve">большинства инициатив в области политики соответствует </w:t>
      </w:r>
      <w:r w:rsidR="0032434C" w:rsidRPr="00DF1530">
        <w:rPr>
          <w:lang w:val="ru-RU"/>
        </w:rPr>
        <w:t>Ф</w:t>
      </w:r>
      <w:r w:rsidR="00EB1372" w:rsidRPr="00DF1530">
        <w:rPr>
          <w:lang w:val="ru-RU"/>
        </w:rPr>
        <w:t>едеральному</w:t>
      </w:r>
      <w:r w:rsidR="008C7A93" w:rsidRPr="00DF1530">
        <w:rPr>
          <w:lang w:val="ru-RU"/>
        </w:rPr>
        <w:t xml:space="preserve"> </w:t>
      </w:r>
      <w:r w:rsidR="0032434C" w:rsidRPr="00DF1530">
        <w:rPr>
          <w:lang w:val="ru-RU"/>
        </w:rPr>
        <w:t>з</w:t>
      </w:r>
      <w:r w:rsidR="00EB1372" w:rsidRPr="00DF1530">
        <w:rPr>
          <w:lang w:val="ru-RU"/>
        </w:rPr>
        <w:t xml:space="preserve">акону </w:t>
      </w:r>
      <w:r w:rsidR="0032434C" w:rsidRPr="00DF1530">
        <w:rPr>
          <w:lang w:val="ru-RU"/>
        </w:rPr>
        <w:t>«О развитии малого и среднего предпринимательства в Российской Федерации» от 2007 года</w:t>
      </w:r>
      <w:r w:rsidR="008C7A93" w:rsidRPr="00DF1530">
        <w:rPr>
          <w:lang w:val="ru-RU"/>
        </w:rPr>
        <w:t xml:space="preserve">. </w:t>
      </w:r>
      <w:r w:rsidR="00EB1372" w:rsidRPr="00DF1530">
        <w:rPr>
          <w:lang w:val="ru-RU"/>
        </w:rPr>
        <w:t>Она определяет цели</w:t>
      </w:r>
      <w:r w:rsidR="008C7A93" w:rsidRPr="00DF1530">
        <w:rPr>
          <w:lang w:val="ru-RU"/>
        </w:rPr>
        <w:t xml:space="preserve">, </w:t>
      </w:r>
      <w:r w:rsidR="00EB1372" w:rsidRPr="00DF1530">
        <w:rPr>
          <w:lang w:val="ru-RU"/>
        </w:rPr>
        <w:t>принципы</w:t>
      </w:r>
      <w:r w:rsidR="008C7A93" w:rsidRPr="00DF1530">
        <w:rPr>
          <w:lang w:val="ru-RU"/>
        </w:rPr>
        <w:t xml:space="preserve">, </w:t>
      </w:r>
      <w:r w:rsidR="00EB1372" w:rsidRPr="00DF1530">
        <w:rPr>
          <w:lang w:val="ru-RU"/>
        </w:rPr>
        <w:t>механизмы</w:t>
      </w:r>
      <w:r w:rsidR="008C7A93" w:rsidRPr="00DF1530">
        <w:rPr>
          <w:lang w:val="ru-RU"/>
        </w:rPr>
        <w:t xml:space="preserve">, </w:t>
      </w:r>
      <w:r w:rsidR="00EB1372" w:rsidRPr="00DF1530">
        <w:rPr>
          <w:lang w:val="ru-RU"/>
        </w:rPr>
        <w:t>ответственность и основные меры политики по МСП и предпринимательской деятельности</w:t>
      </w:r>
      <w:r w:rsidR="008C7A93" w:rsidRPr="00DF1530">
        <w:rPr>
          <w:lang w:val="ru-RU"/>
        </w:rPr>
        <w:t xml:space="preserve">. </w:t>
      </w:r>
      <w:r w:rsidR="00B4184A" w:rsidRPr="00DF1530">
        <w:rPr>
          <w:lang w:val="ru-RU"/>
        </w:rPr>
        <w:t>Это стабильная основа, существующая уже несколько лет</w:t>
      </w:r>
      <w:r w:rsidR="008C7A93" w:rsidRPr="00DF1530">
        <w:rPr>
          <w:lang w:val="ru-RU"/>
        </w:rPr>
        <w:t xml:space="preserve">. </w:t>
      </w:r>
      <w:r w:rsidR="00B4184A" w:rsidRPr="00DF1530">
        <w:rPr>
          <w:lang w:val="ru-RU"/>
        </w:rPr>
        <w:t>За руководство разработкой и реализацией этой политики отвечает ф</w:t>
      </w:r>
      <w:r w:rsidR="00EB1372" w:rsidRPr="00DF1530">
        <w:rPr>
          <w:lang w:val="ru-RU"/>
        </w:rPr>
        <w:t>едеральн</w:t>
      </w:r>
      <w:r w:rsidR="00B4184A" w:rsidRPr="00DF1530">
        <w:rPr>
          <w:lang w:val="ru-RU"/>
        </w:rPr>
        <w:t>ое</w:t>
      </w:r>
      <w:r w:rsidR="008C7A93" w:rsidRPr="00DF1530">
        <w:rPr>
          <w:lang w:val="ru-RU"/>
        </w:rPr>
        <w:t xml:space="preserve"> </w:t>
      </w:r>
      <w:r w:rsidR="00B4184A" w:rsidRPr="00DF1530">
        <w:rPr>
          <w:lang w:val="ru-RU"/>
        </w:rPr>
        <w:t>Министерство экономического развития и торговли</w:t>
      </w:r>
      <w:r w:rsidR="008C7A93" w:rsidRPr="00DF1530">
        <w:rPr>
          <w:lang w:val="ru-RU"/>
        </w:rPr>
        <w:t xml:space="preserve">. </w:t>
      </w:r>
      <w:r w:rsidR="00A56E62" w:rsidRPr="00DF1530">
        <w:rPr>
          <w:lang w:val="ru-RU"/>
        </w:rPr>
        <w:t xml:space="preserve">В качестве министерства, отвечающего за межправительственную </w:t>
      </w:r>
      <w:r w:rsidR="00B83DB5" w:rsidRPr="00DF1530">
        <w:rPr>
          <w:lang w:val="ru-RU"/>
        </w:rPr>
        <w:t>координаци</w:t>
      </w:r>
      <w:r w:rsidR="00A56E62" w:rsidRPr="00DF1530">
        <w:rPr>
          <w:lang w:val="ru-RU"/>
        </w:rPr>
        <w:t>ю</w:t>
      </w:r>
      <w:r w:rsidR="008C7A93" w:rsidRPr="00DF1530">
        <w:rPr>
          <w:lang w:val="ru-RU"/>
        </w:rPr>
        <w:t xml:space="preserve"> </w:t>
      </w:r>
      <w:r w:rsidR="00A56E62" w:rsidRPr="00DF1530">
        <w:rPr>
          <w:lang w:val="ru-RU"/>
        </w:rPr>
        <w:t>в</w:t>
      </w:r>
      <w:r w:rsidR="008C7A93" w:rsidRPr="00DF1530">
        <w:rPr>
          <w:lang w:val="ru-RU"/>
        </w:rPr>
        <w:t xml:space="preserve"> </w:t>
      </w:r>
      <w:r w:rsidR="00EB1372" w:rsidRPr="00DF1530">
        <w:rPr>
          <w:lang w:val="ru-RU"/>
        </w:rPr>
        <w:t>политик</w:t>
      </w:r>
      <w:r w:rsidR="00A56E62" w:rsidRPr="00DF1530">
        <w:rPr>
          <w:lang w:val="ru-RU"/>
        </w:rPr>
        <w:t>е</w:t>
      </w:r>
      <w:r w:rsidR="00EB1372" w:rsidRPr="00DF1530">
        <w:rPr>
          <w:lang w:val="ru-RU"/>
        </w:rPr>
        <w:t xml:space="preserve"> по МСП и предпринимательской деятельности</w:t>
      </w:r>
      <w:r w:rsidR="008C7A93" w:rsidRPr="00DF1530">
        <w:rPr>
          <w:lang w:val="ru-RU"/>
        </w:rPr>
        <w:t xml:space="preserve">, </w:t>
      </w:r>
      <w:r w:rsidR="00A56E62" w:rsidRPr="00DF1530">
        <w:rPr>
          <w:lang w:val="ru-RU"/>
        </w:rPr>
        <w:t xml:space="preserve">оно сформировало межправительственную рабочую группу по доработке политики по </w:t>
      </w:r>
      <w:r w:rsidR="00834072" w:rsidRPr="00DF1530">
        <w:rPr>
          <w:lang w:val="ru-RU"/>
        </w:rPr>
        <w:t>МСП</w:t>
      </w:r>
      <w:r w:rsidR="008C7A93" w:rsidRPr="00DF1530">
        <w:rPr>
          <w:lang w:val="ru-RU"/>
        </w:rPr>
        <w:t xml:space="preserve">. </w:t>
      </w:r>
      <w:r w:rsidR="00A62295" w:rsidRPr="00DF1530">
        <w:rPr>
          <w:lang w:val="ru-RU"/>
        </w:rPr>
        <w:t>Дополнительны</w:t>
      </w:r>
      <w:r w:rsidR="00A56E62" w:rsidRPr="00DF1530">
        <w:rPr>
          <w:lang w:val="ru-RU"/>
        </w:rPr>
        <w:t>й</w:t>
      </w:r>
      <w:r w:rsidR="008C7A93" w:rsidRPr="00DF1530">
        <w:rPr>
          <w:lang w:val="ru-RU"/>
        </w:rPr>
        <w:t xml:space="preserve"> </w:t>
      </w:r>
      <w:r w:rsidR="00A56E62" w:rsidRPr="00DF1530">
        <w:rPr>
          <w:lang w:val="ru-RU"/>
        </w:rPr>
        <w:t xml:space="preserve">вклад в </w:t>
      </w:r>
      <w:r w:rsidR="00EB1372" w:rsidRPr="00DF1530">
        <w:rPr>
          <w:lang w:val="ru-RU"/>
        </w:rPr>
        <w:t>политик</w:t>
      </w:r>
      <w:r w:rsidR="00A56E62" w:rsidRPr="00DF1530">
        <w:rPr>
          <w:lang w:val="ru-RU"/>
        </w:rPr>
        <w:t>у</w:t>
      </w:r>
      <w:r w:rsidR="00EB1372" w:rsidRPr="00DF1530">
        <w:rPr>
          <w:lang w:val="ru-RU"/>
        </w:rPr>
        <w:t xml:space="preserve"> по МСП и предпринимательской деятельности</w:t>
      </w:r>
      <w:r w:rsidR="008C7A93" w:rsidRPr="00DF1530">
        <w:rPr>
          <w:lang w:val="ru-RU"/>
        </w:rPr>
        <w:t xml:space="preserve"> </w:t>
      </w:r>
      <w:r w:rsidR="00A56E62" w:rsidRPr="00DF1530">
        <w:rPr>
          <w:lang w:val="ru-RU"/>
        </w:rPr>
        <w:t xml:space="preserve">и ее </w:t>
      </w:r>
      <w:r w:rsidR="00B83DB5" w:rsidRPr="00DF1530">
        <w:rPr>
          <w:lang w:val="ru-RU"/>
        </w:rPr>
        <w:t>координаци</w:t>
      </w:r>
      <w:r w:rsidR="00A56E62" w:rsidRPr="00DF1530">
        <w:rPr>
          <w:lang w:val="ru-RU"/>
        </w:rPr>
        <w:t>ю</w:t>
      </w:r>
      <w:r w:rsidR="008C7A93" w:rsidRPr="00DF1530">
        <w:rPr>
          <w:lang w:val="ru-RU"/>
        </w:rPr>
        <w:t xml:space="preserve"> </w:t>
      </w:r>
      <w:r w:rsidR="00A56E62" w:rsidRPr="00DF1530">
        <w:rPr>
          <w:lang w:val="ru-RU"/>
        </w:rPr>
        <w:t xml:space="preserve">между различными государственными органами обеспечивают Государственная комиссия по конкуренции и развитию </w:t>
      </w:r>
      <w:r w:rsidR="00834072" w:rsidRPr="00DF1530">
        <w:rPr>
          <w:lang w:val="ru-RU"/>
        </w:rPr>
        <w:t>МСП</w:t>
      </w:r>
      <w:r w:rsidR="008C7A93" w:rsidRPr="00DF1530">
        <w:rPr>
          <w:lang w:val="ru-RU"/>
        </w:rPr>
        <w:t xml:space="preserve"> </w:t>
      </w:r>
      <w:r w:rsidR="00A56E62" w:rsidRPr="00DF1530">
        <w:rPr>
          <w:lang w:val="ru-RU"/>
        </w:rPr>
        <w:t>и Комитет Государственной Думы по экономической политике</w:t>
      </w:r>
      <w:r w:rsidR="008C7A93" w:rsidRPr="00DF1530">
        <w:rPr>
          <w:lang w:val="ru-RU"/>
        </w:rPr>
        <w:t xml:space="preserve">, </w:t>
      </w:r>
      <w:r w:rsidR="00A56E62" w:rsidRPr="00DF1530">
        <w:rPr>
          <w:lang w:val="ru-RU"/>
        </w:rPr>
        <w:t>и</w:t>
      </w:r>
      <w:r w:rsidR="00D3769A" w:rsidRPr="00DF1530">
        <w:rPr>
          <w:lang w:val="ru-RU"/>
        </w:rPr>
        <w:t>нноваци</w:t>
      </w:r>
      <w:r w:rsidR="00A56E62" w:rsidRPr="00DF1530">
        <w:rPr>
          <w:lang w:val="ru-RU"/>
        </w:rPr>
        <w:t>ям</w:t>
      </w:r>
      <w:r w:rsidR="008C7A93" w:rsidRPr="00DF1530">
        <w:rPr>
          <w:lang w:val="ru-RU"/>
        </w:rPr>
        <w:t xml:space="preserve"> </w:t>
      </w:r>
      <w:r w:rsidR="00A56E62" w:rsidRPr="00DF1530">
        <w:rPr>
          <w:lang w:val="ru-RU"/>
        </w:rPr>
        <w:t>и развитию п</w:t>
      </w:r>
      <w:r w:rsidR="00834072" w:rsidRPr="00DF1530">
        <w:rPr>
          <w:lang w:val="ru-RU"/>
        </w:rPr>
        <w:t>редпринимательск</w:t>
      </w:r>
      <w:r w:rsidR="00A56E62" w:rsidRPr="00DF1530">
        <w:rPr>
          <w:lang w:val="ru-RU"/>
        </w:rPr>
        <w:t>ой</w:t>
      </w:r>
      <w:r w:rsidR="00834072" w:rsidRPr="00DF1530">
        <w:rPr>
          <w:lang w:val="ru-RU"/>
        </w:rPr>
        <w:t xml:space="preserve"> деятельност</w:t>
      </w:r>
      <w:r w:rsidR="00A56E62" w:rsidRPr="00DF1530">
        <w:rPr>
          <w:lang w:val="ru-RU"/>
        </w:rPr>
        <w:t>и</w:t>
      </w:r>
      <w:r w:rsidR="008C7A93" w:rsidRPr="00DF1530">
        <w:rPr>
          <w:lang w:val="ru-RU"/>
        </w:rPr>
        <w:t xml:space="preserve">. </w:t>
      </w:r>
      <w:r w:rsidR="0023536F" w:rsidRPr="00DF1530">
        <w:rPr>
          <w:lang w:val="ru-RU"/>
        </w:rPr>
        <w:t xml:space="preserve">Установлены </w:t>
      </w:r>
      <w:r w:rsidR="00592D7B" w:rsidRPr="00DF1530">
        <w:rPr>
          <w:lang w:val="ru-RU"/>
        </w:rPr>
        <w:t>также</w:t>
      </w:r>
      <w:r w:rsidR="008C7A93" w:rsidRPr="00DF1530">
        <w:rPr>
          <w:lang w:val="ru-RU"/>
        </w:rPr>
        <w:t xml:space="preserve"> </w:t>
      </w:r>
      <w:r w:rsidR="0023536F" w:rsidRPr="00DF1530">
        <w:rPr>
          <w:lang w:val="ru-RU"/>
        </w:rPr>
        <w:t>тесные контакты с заинтересованными сторонами</w:t>
      </w:r>
      <w:r w:rsidR="008C7A93" w:rsidRPr="00DF1530">
        <w:rPr>
          <w:lang w:val="ru-RU"/>
        </w:rPr>
        <w:t xml:space="preserve"> </w:t>
      </w:r>
      <w:r w:rsidR="0023536F" w:rsidRPr="00DF1530">
        <w:rPr>
          <w:lang w:val="ru-RU"/>
        </w:rPr>
        <w:t>из коммерческого сектора, которые участвуют в разработке политики, высказывают свои замечания  по ее разработке и участвуют в распространении информации</w:t>
      </w:r>
      <w:r w:rsidR="008C7A93" w:rsidRPr="00DF1530">
        <w:rPr>
          <w:lang w:val="ru-RU"/>
        </w:rPr>
        <w:t xml:space="preserve"> </w:t>
      </w:r>
      <w:r w:rsidR="0023536F" w:rsidRPr="00DF1530">
        <w:rPr>
          <w:lang w:val="ru-RU"/>
        </w:rPr>
        <w:t xml:space="preserve">о существующих </w:t>
      </w:r>
      <w:r w:rsidR="00CD71D1" w:rsidRPr="00DF1530">
        <w:rPr>
          <w:lang w:val="ru-RU"/>
        </w:rPr>
        <w:t>правительств</w:t>
      </w:r>
      <w:r w:rsidR="0023536F" w:rsidRPr="00DF1530">
        <w:rPr>
          <w:lang w:val="ru-RU"/>
        </w:rPr>
        <w:t>енных</w:t>
      </w:r>
      <w:r w:rsidR="008C7A93" w:rsidRPr="00DF1530">
        <w:rPr>
          <w:lang w:val="ru-RU"/>
        </w:rPr>
        <w:t xml:space="preserve"> </w:t>
      </w:r>
      <w:r w:rsidR="0023536F" w:rsidRPr="00DF1530">
        <w:rPr>
          <w:lang w:val="ru-RU"/>
        </w:rPr>
        <w:t>программах</w:t>
      </w:r>
      <w:r w:rsidR="008C7A93" w:rsidRPr="00DF1530">
        <w:rPr>
          <w:lang w:val="ru-RU"/>
        </w:rPr>
        <w:t xml:space="preserve"> </w:t>
      </w:r>
      <w:r w:rsidR="0023536F" w:rsidRPr="00DF1530">
        <w:rPr>
          <w:lang w:val="ru-RU"/>
        </w:rPr>
        <w:t xml:space="preserve">и участии в них </w:t>
      </w:r>
      <w:r w:rsidR="00297F6F" w:rsidRPr="00DF1530">
        <w:rPr>
          <w:lang w:val="ru-RU"/>
        </w:rPr>
        <w:t>предприяти</w:t>
      </w:r>
      <w:r w:rsidR="0023536F" w:rsidRPr="00DF1530">
        <w:rPr>
          <w:lang w:val="ru-RU"/>
        </w:rPr>
        <w:t>й</w:t>
      </w:r>
      <w:r w:rsidR="008C7A93" w:rsidRPr="00DF1530">
        <w:rPr>
          <w:lang w:val="ru-RU"/>
        </w:rPr>
        <w:t xml:space="preserve">.  </w:t>
      </w:r>
    </w:p>
    <w:p w:rsidR="008C7A93" w:rsidRPr="00DF1530" w:rsidRDefault="009A2209" w:rsidP="008C7A93">
      <w:pPr>
        <w:pStyle w:val="31"/>
        <w:rPr>
          <w:lang w:val="ru-RU"/>
        </w:rPr>
      </w:pPr>
      <w:r w:rsidRPr="00DF1530">
        <w:rPr>
          <w:lang w:val="ru-RU"/>
        </w:rPr>
        <w:lastRenderedPageBreak/>
        <w:t>Отсутствие стратегического документа по</w:t>
      </w:r>
      <w:r w:rsidR="008C7A93" w:rsidRPr="00DF1530">
        <w:rPr>
          <w:lang w:val="ru-RU"/>
        </w:rPr>
        <w:t xml:space="preserve"> </w:t>
      </w:r>
      <w:r w:rsidR="00EB1372" w:rsidRPr="00DF1530">
        <w:rPr>
          <w:lang w:val="ru-RU"/>
        </w:rPr>
        <w:t>политик</w:t>
      </w:r>
      <w:r w:rsidRPr="00DF1530">
        <w:rPr>
          <w:lang w:val="ru-RU"/>
        </w:rPr>
        <w:t>е</w:t>
      </w:r>
      <w:r w:rsidR="00EB1372" w:rsidRPr="00DF1530">
        <w:rPr>
          <w:lang w:val="ru-RU"/>
        </w:rPr>
        <w:t xml:space="preserve"> по МСП и предпринимательской деятельности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7C68D2" w:rsidRPr="00DF1530">
        <w:rPr>
          <w:lang w:val="ru-RU"/>
        </w:rPr>
        <w:t>Однако</w:t>
      </w:r>
      <w:r w:rsidR="008C7A93" w:rsidRPr="00DF1530">
        <w:rPr>
          <w:lang w:val="ru-RU"/>
        </w:rPr>
        <w:t xml:space="preserve"> </w:t>
      </w:r>
      <w:r w:rsidR="009E02CF" w:rsidRPr="00DF1530">
        <w:rPr>
          <w:lang w:val="ru-RU"/>
        </w:rPr>
        <w:t>официального</w:t>
      </w:r>
      <w:r w:rsidR="008C7A93" w:rsidRPr="00DF1530">
        <w:rPr>
          <w:lang w:val="ru-RU"/>
        </w:rPr>
        <w:t xml:space="preserve"> </w:t>
      </w:r>
      <w:r w:rsidR="003F5CB4" w:rsidRPr="00DF1530">
        <w:rPr>
          <w:lang w:val="ru-RU"/>
        </w:rPr>
        <w:t xml:space="preserve">комплексного единого </w:t>
      </w:r>
      <w:r w:rsidR="009A2209" w:rsidRPr="00DF1530">
        <w:rPr>
          <w:lang w:val="ru-RU"/>
        </w:rPr>
        <w:t>стратегическ</w:t>
      </w:r>
      <w:r w:rsidR="009E02CF" w:rsidRPr="00DF1530">
        <w:rPr>
          <w:lang w:val="ru-RU"/>
        </w:rPr>
        <w:t>ого</w:t>
      </w:r>
      <w:r w:rsidR="008C7A93" w:rsidRPr="00DF1530">
        <w:rPr>
          <w:lang w:val="ru-RU"/>
        </w:rPr>
        <w:t xml:space="preserve"> </w:t>
      </w:r>
      <w:r w:rsidR="009E02CF" w:rsidRPr="00DF1530">
        <w:rPr>
          <w:lang w:val="ru-RU"/>
        </w:rPr>
        <w:t xml:space="preserve">генерального плана по МСП и предпринимательской деятельности во всем </w:t>
      </w:r>
      <w:r w:rsidR="00CD71D1" w:rsidRPr="00DF1530">
        <w:rPr>
          <w:lang w:val="ru-RU"/>
        </w:rPr>
        <w:t>правительств</w:t>
      </w:r>
      <w:r w:rsidR="009E02CF" w:rsidRPr="00DF1530">
        <w:rPr>
          <w:lang w:val="ru-RU"/>
        </w:rPr>
        <w:t>е не существует</w:t>
      </w:r>
      <w:r w:rsidR="008C7A93" w:rsidRPr="00DF1530">
        <w:rPr>
          <w:lang w:val="ru-RU"/>
        </w:rPr>
        <w:t xml:space="preserve">. </w:t>
      </w:r>
      <w:r w:rsidR="009E02CF" w:rsidRPr="00DF1530">
        <w:rPr>
          <w:lang w:val="ru-RU"/>
        </w:rPr>
        <w:t xml:space="preserve">Такой </w:t>
      </w:r>
      <w:r w:rsidR="009A2209" w:rsidRPr="00DF1530">
        <w:rPr>
          <w:lang w:val="ru-RU"/>
        </w:rPr>
        <w:t>стратегический</w:t>
      </w:r>
      <w:r w:rsidR="008C7A93" w:rsidRPr="00DF1530">
        <w:rPr>
          <w:lang w:val="ru-RU"/>
        </w:rPr>
        <w:t xml:space="preserve"> </w:t>
      </w:r>
      <w:r w:rsidR="009A2209" w:rsidRPr="00DF1530">
        <w:rPr>
          <w:lang w:val="ru-RU"/>
        </w:rPr>
        <w:t>документ</w:t>
      </w:r>
      <w:r w:rsidR="008C7A93" w:rsidRPr="00DF1530">
        <w:rPr>
          <w:lang w:val="ru-RU"/>
        </w:rPr>
        <w:t xml:space="preserve"> </w:t>
      </w:r>
      <w:r w:rsidR="009E02CF" w:rsidRPr="00DF1530">
        <w:rPr>
          <w:lang w:val="ru-RU"/>
        </w:rPr>
        <w:t>может сыграть важную роль в оформлении сотрудничества</w:t>
      </w:r>
      <w:r w:rsidR="008C7A93" w:rsidRPr="00DF1530">
        <w:rPr>
          <w:lang w:val="ru-RU"/>
        </w:rPr>
        <w:t xml:space="preserve">, </w:t>
      </w:r>
      <w:r w:rsidR="009E02CF" w:rsidRPr="00DF1530">
        <w:rPr>
          <w:lang w:val="ru-RU"/>
        </w:rPr>
        <w:t xml:space="preserve">определении приоритетных мер и установлении целей по </w:t>
      </w:r>
      <w:r w:rsidR="00297F6F" w:rsidRPr="00DF1530">
        <w:rPr>
          <w:lang w:val="ru-RU"/>
        </w:rPr>
        <w:t>деятельност</w:t>
      </w:r>
      <w:r w:rsidR="009E02CF" w:rsidRPr="00DF1530">
        <w:rPr>
          <w:lang w:val="ru-RU"/>
        </w:rPr>
        <w:t>и</w:t>
      </w:r>
      <w:r w:rsidR="008C7A93" w:rsidRPr="00DF1530">
        <w:rPr>
          <w:lang w:val="ru-RU"/>
        </w:rPr>
        <w:t xml:space="preserve"> </w:t>
      </w:r>
      <w:r w:rsidR="009E02CF" w:rsidRPr="00DF1530">
        <w:rPr>
          <w:lang w:val="ru-RU"/>
        </w:rPr>
        <w:t>и результатам</w:t>
      </w:r>
      <w:r w:rsidR="008C7A93" w:rsidRPr="00DF1530">
        <w:rPr>
          <w:lang w:val="ru-RU"/>
        </w:rPr>
        <w:t xml:space="preserve">. </w:t>
      </w:r>
      <w:r w:rsidR="009E02CF" w:rsidRPr="00DF1530">
        <w:rPr>
          <w:lang w:val="ru-RU"/>
        </w:rPr>
        <w:t xml:space="preserve">Поэтому предлагается подготовить </w:t>
      </w:r>
      <w:r w:rsidR="009A2209" w:rsidRPr="00DF1530">
        <w:rPr>
          <w:lang w:val="ru-RU"/>
        </w:rPr>
        <w:t>стратегический</w:t>
      </w:r>
      <w:r w:rsidR="008C7A93" w:rsidRPr="00DF1530">
        <w:rPr>
          <w:lang w:val="ru-RU"/>
        </w:rPr>
        <w:t xml:space="preserve"> </w:t>
      </w:r>
      <w:r w:rsidR="009A2209" w:rsidRPr="00DF1530">
        <w:rPr>
          <w:lang w:val="ru-RU"/>
        </w:rPr>
        <w:t>документ</w:t>
      </w:r>
      <w:r w:rsidR="008C7A93" w:rsidRPr="00DF1530">
        <w:rPr>
          <w:lang w:val="ru-RU"/>
        </w:rPr>
        <w:t xml:space="preserve"> </w:t>
      </w:r>
      <w:r w:rsidR="009E02CF" w:rsidRPr="00DF1530">
        <w:rPr>
          <w:lang w:val="ru-RU"/>
        </w:rPr>
        <w:t xml:space="preserve">по </w:t>
      </w:r>
      <w:r w:rsidR="00EB1372" w:rsidRPr="00DF1530">
        <w:rPr>
          <w:lang w:val="ru-RU"/>
        </w:rPr>
        <w:t>политик</w:t>
      </w:r>
      <w:r w:rsidR="009E02CF" w:rsidRPr="00DF1530">
        <w:rPr>
          <w:lang w:val="ru-RU"/>
        </w:rPr>
        <w:t>е</w:t>
      </w:r>
      <w:r w:rsidR="00EB1372" w:rsidRPr="00DF1530">
        <w:rPr>
          <w:lang w:val="ru-RU"/>
        </w:rPr>
        <w:t xml:space="preserve"> по МСП и предпринимательской деятельности</w:t>
      </w:r>
      <w:r w:rsidR="008C7A93" w:rsidRPr="00DF1530">
        <w:rPr>
          <w:lang w:val="ru-RU"/>
        </w:rPr>
        <w:t xml:space="preserve"> </w:t>
      </w:r>
      <w:r w:rsidR="009E02CF" w:rsidRPr="00DF1530">
        <w:rPr>
          <w:lang w:val="ru-RU"/>
        </w:rPr>
        <w:t xml:space="preserve">посредством консультаций заинтересованных сторон с министерствами </w:t>
      </w:r>
      <w:r w:rsidR="00EB1372" w:rsidRPr="00DF1530">
        <w:rPr>
          <w:lang w:val="ru-RU"/>
        </w:rPr>
        <w:t>федеральн</w:t>
      </w:r>
      <w:r w:rsidR="009E02CF" w:rsidRPr="00DF1530">
        <w:rPr>
          <w:lang w:val="ru-RU"/>
        </w:rPr>
        <w:t>ого</w:t>
      </w:r>
      <w:r w:rsidR="008C7A93" w:rsidRPr="00DF1530">
        <w:rPr>
          <w:lang w:val="ru-RU"/>
        </w:rPr>
        <w:t xml:space="preserve"> </w:t>
      </w:r>
      <w:r w:rsidR="00CD71D1" w:rsidRPr="00DF1530">
        <w:rPr>
          <w:lang w:val="ru-RU"/>
        </w:rPr>
        <w:t>правительств</w:t>
      </w:r>
      <w:r w:rsidR="009E02CF" w:rsidRPr="00DF1530">
        <w:rPr>
          <w:lang w:val="ru-RU"/>
        </w:rPr>
        <w:t>а</w:t>
      </w:r>
      <w:r w:rsidR="008C7A93" w:rsidRPr="00DF1530">
        <w:rPr>
          <w:lang w:val="ru-RU"/>
        </w:rPr>
        <w:t xml:space="preserve">, </w:t>
      </w:r>
      <w:r w:rsidR="009E02CF" w:rsidRPr="00DF1530">
        <w:rPr>
          <w:lang w:val="ru-RU"/>
        </w:rPr>
        <w:t xml:space="preserve">региональными и муниципальными </w:t>
      </w:r>
      <w:r w:rsidR="00CD71D1" w:rsidRPr="00DF1530">
        <w:rPr>
          <w:lang w:val="ru-RU"/>
        </w:rPr>
        <w:t>правительств</w:t>
      </w:r>
      <w:r w:rsidR="009E02CF" w:rsidRPr="00DF1530">
        <w:rPr>
          <w:lang w:val="ru-RU"/>
        </w:rPr>
        <w:t xml:space="preserve">енными органами и </w:t>
      </w:r>
      <w:r w:rsidR="0023536F" w:rsidRPr="00DF1530">
        <w:rPr>
          <w:lang w:val="ru-RU"/>
        </w:rPr>
        <w:t>заинтересованны</w:t>
      </w:r>
      <w:r w:rsidR="009E02CF" w:rsidRPr="00DF1530">
        <w:rPr>
          <w:lang w:val="ru-RU"/>
        </w:rPr>
        <w:t>ми</w:t>
      </w:r>
      <w:r w:rsidR="0023536F" w:rsidRPr="00DF1530">
        <w:rPr>
          <w:lang w:val="ru-RU"/>
        </w:rPr>
        <w:t xml:space="preserve"> сторон</w:t>
      </w:r>
      <w:r w:rsidR="009E02CF" w:rsidRPr="00DF1530">
        <w:rPr>
          <w:lang w:val="ru-RU"/>
        </w:rPr>
        <w:t>ами из коммерческого сектора</w:t>
      </w:r>
      <w:r w:rsidR="008C7A93" w:rsidRPr="00DF1530">
        <w:rPr>
          <w:lang w:val="ru-RU"/>
        </w:rPr>
        <w:t xml:space="preserve">. </w:t>
      </w:r>
      <w:r w:rsidR="009E02CF" w:rsidRPr="00DF1530">
        <w:rPr>
          <w:lang w:val="ru-RU"/>
        </w:rPr>
        <w:t>Эта стратегия должна предусматривать обоснование</w:t>
      </w:r>
      <w:r w:rsidR="008C7A93" w:rsidRPr="00DF1530">
        <w:rPr>
          <w:lang w:val="ru-RU"/>
        </w:rPr>
        <w:t xml:space="preserve">, </w:t>
      </w:r>
      <w:r w:rsidR="009E02CF" w:rsidRPr="00DF1530">
        <w:rPr>
          <w:lang w:val="ru-RU"/>
        </w:rPr>
        <w:t>цели</w:t>
      </w:r>
      <w:r w:rsidR="008C7A93" w:rsidRPr="00DF1530">
        <w:rPr>
          <w:lang w:val="ru-RU"/>
        </w:rPr>
        <w:t xml:space="preserve">, </w:t>
      </w:r>
      <w:r w:rsidR="009E02CF" w:rsidRPr="00DF1530">
        <w:rPr>
          <w:lang w:val="ru-RU"/>
        </w:rPr>
        <w:t>приоритеты</w:t>
      </w:r>
      <w:r w:rsidR="008C7A93" w:rsidRPr="00DF1530">
        <w:rPr>
          <w:lang w:val="ru-RU"/>
        </w:rPr>
        <w:t xml:space="preserve">, </w:t>
      </w:r>
      <w:r w:rsidR="009E02CF" w:rsidRPr="00DF1530">
        <w:rPr>
          <w:lang w:val="ru-RU"/>
        </w:rPr>
        <w:t xml:space="preserve">меры и ответственность за </w:t>
      </w:r>
      <w:r w:rsidR="003F5CB4" w:rsidRPr="00DF1530">
        <w:rPr>
          <w:lang w:val="ru-RU"/>
        </w:rPr>
        <w:t xml:space="preserve">ведение </w:t>
      </w:r>
      <w:r w:rsidR="00EB1372" w:rsidRPr="00DF1530">
        <w:rPr>
          <w:lang w:val="ru-RU"/>
        </w:rPr>
        <w:t>политик</w:t>
      </w:r>
      <w:r w:rsidR="009E02CF"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r w:rsidR="009E02CF" w:rsidRPr="00DF1530">
        <w:rPr>
          <w:lang w:val="ru-RU"/>
        </w:rPr>
        <w:t xml:space="preserve">среди различных целевых групп </w:t>
      </w:r>
      <w:r w:rsidR="00F736B7" w:rsidRPr="00DF1530">
        <w:rPr>
          <w:lang w:val="ru-RU"/>
        </w:rPr>
        <w:t>МСП</w:t>
      </w:r>
      <w:r w:rsidR="008C7A93" w:rsidRPr="00DF1530">
        <w:rPr>
          <w:lang w:val="ru-RU"/>
        </w:rPr>
        <w:t xml:space="preserve"> </w:t>
      </w:r>
      <w:r w:rsidR="009E02CF" w:rsidRPr="00DF1530">
        <w:rPr>
          <w:lang w:val="ru-RU"/>
        </w:rPr>
        <w:t xml:space="preserve">и </w:t>
      </w:r>
      <w:r w:rsidR="00347E3A" w:rsidRPr="00DF1530">
        <w:rPr>
          <w:lang w:val="ru-RU"/>
        </w:rPr>
        <w:t>предпринимател</w:t>
      </w:r>
      <w:r w:rsidR="009E02CF" w:rsidRPr="00DF1530">
        <w:rPr>
          <w:lang w:val="ru-RU"/>
        </w:rPr>
        <w:t>ей</w:t>
      </w:r>
      <w:r w:rsidR="008C7A93" w:rsidRPr="00DF1530">
        <w:rPr>
          <w:lang w:val="ru-RU"/>
        </w:rPr>
        <w:t xml:space="preserve">. </w:t>
      </w:r>
      <w:r w:rsidR="009E02CF" w:rsidRPr="00DF1530">
        <w:rPr>
          <w:lang w:val="ru-RU"/>
        </w:rPr>
        <w:t xml:space="preserve">Она должна </w:t>
      </w:r>
      <w:r w:rsidR="00592D7B" w:rsidRPr="00DF1530">
        <w:rPr>
          <w:lang w:val="ru-RU"/>
        </w:rPr>
        <w:t>также</w:t>
      </w:r>
      <w:r w:rsidR="008C7A93" w:rsidRPr="00DF1530">
        <w:rPr>
          <w:lang w:val="ru-RU"/>
        </w:rPr>
        <w:t xml:space="preserve"> </w:t>
      </w:r>
      <w:r w:rsidR="009E02CF" w:rsidRPr="00DF1530">
        <w:rPr>
          <w:lang w:val="ru-RU"/>
        </w:rPr>
        <w:t>предусматривать организационные мероприятия по оценке влияния реализуемых мер</w:t>
      </w:r>
      <w:r w:rsidR="008C7A93" w:rsidRPr="00DF1530">
        <w:rPr>
          <w:lang w:val="ru-RU"/>
        </w:rPr>
        <w:t xml:space="preserve">. </w:t>
      </w:r>
    </w:p>
    <w:p w:rsidR="008C7A93" w:rsidRPr="00DF1530" w:rsidRDefault="003F5CB4" w:rsidP="008C7A93">
      <w:pPr>
        <w:pStyle w:val="31"/>
        <w:rPr>
          <w:lang w:val="ru-RU"/>
        </w:rPr>
      </w:pPr>
      <w:r w:rsidRPr="00DF1530">
        <w:rPr>
          <w:lang w:val="ru-RU"/>
        </w:rPr>
        <w:t xml:space="preserve">Увеличение бюджета </w:t>
      </w:r>
      <w:r w:rsidR="00EB1372" w:rsidRPr="00DF1530">
        <w:rPr>
          <w:lang w:val="ru-RU"/>
        </w:rPr>
        <w:t>федеральн</w:t>
      </w:r>
      <w:r w:rsidRPr="00DF1530">
        <w:rPr>
          <w:lang w:val="ru-RU"/>
        </w:rPr>
        <w:t>о</w:t>
      </w:r>
      <w:r w:rsidR="00EB1372" w:rsidRPr="00DF1530">
        <w:rPr>
          <w:lang w:val="ru-RU"/>
        </w:rPr>
        <w:t>й</w:t>
      </w:r>
      <w:r w:rsidR="008C7A93" w:rsidRPr="00DF1530">
        <w:rPr>
          <w:lang w:val="ru-RU"/>
        </w:rPr>
        <w:t xml:space="preserve"> </w:t>
      </w:r>
      <w:r w:rsidRPr="00DF1530">
        <w:rPr>
          <w:lang w:val="ru-RU"/>
        </w:rPr>
        <w:t>программы по МСП и предпринимательской деятельности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7E6A6A" w:rsidRPr="00DF1530">
        <w:rPr>
          <w:lang w:val="ru-RU"/>
        </w:rPr>
        <w:t xml:space="preserve">В 2009 году были существенно увеличены ресурсы </w:t>
      </w:r>
      <w:r w:rsidR="00EB1372" w:rsidRPr="00DF1530">
        <w:rPr>
          <w:lang w:val="ru-RU"/>
        </w:rPr>
        <w:t>федеральн</w:t>
      </w:r>
      <w:r w:rsidR="007E6A6A" w:rsidRPr="00DF1530">
        <w:rPr>
          <w:lang w:val="ru-RU"/>
        </w:rPr>
        <w:t>о</w:t>
      </w:r>
      <w:r w:rsidR="00EB1372" w:rsidRPr="00DF1530">
        <w:rPr>
          <w:lang w:val="ru-RU"/>
        </w:rPr>
        <w:t>й</w:t>
      </w:r>
      <w:r w:rsidR="008C7A93" w:rsidRPr="00DF1530">
        <w:rPr>
          <w:lang w:val="ru-RU"/>
        </w:rPr>
        <w:t xml:space="preserve"> </w:t>
      </w:r>
      <w:r w:rsidR="0023536F" w:rsidRPr="00DF1530">
        <w:rPr>
          <w:lang w:val="ru-RU"/>
        </w:rPr>
        <w:t>программ</w:t>
      </w:r>
      <w:r w:rsidR="007E6A6A" w:rsidRPr="00DF1530">
        <w:rPr>
          <w:lang w:val="ru-RU"/>
        </w:rPr>
        <w:t>ы</w:t>
      </w:r>
      <w:r w:rsidR="008C7A93" w:rsidRPr="00DF1530">
        <w:rPr>
          <w:lang w:val="ru-RU"/>
        </w:rPr>
        <w:t xml:space="preserve"> </w:t>
      </w:r>
      <w:r w:rsidR="007E6A6A" w:rsidRPr="00DF1530">
        <w:rPr>
          <w:lang w:val="ru-RU"/>
        </w:rPr>
        <w:t xml:space="preserve">поддержки </w:t>
      </w:r>
      <w:r w:rsidR="00834072" w:rsidRPr="00DF1530">
        <w:rPr>
          <w:lang w:val="ru-RU"/>
        </w:rPr>
        <w:t>МСП</w:t>
      </w:r>
      <w:r w:rsidR="008C7A93" w:rsidRPr="00DF1530">
        <w:rPr>
          <w:lang w:val="ru-RU"/>
        </w:rPr>
        <w:t xml:space="preserve">, </w:t>
      </w:r>
      <w:r w:rsidR="007E6A6A" w:rsidRPr="00DF1530">
        <w:rPr>
          <w:lang w:val="ru-RU"/>
        </w:rPr>
        <w:t xml:space="preserve">являющейся самым важным источником инвестиций в поддержку инфраструктуры и услуг для </w:t>
      </w:r>
      <w:r w:rsidR="003F5CB4" w:rsidRPr="00DF1530">
        <w:rPr>
          <w:lang w:val="ru-RU"/>
        </w:rPr>
        <w:t>МСП и предпринимательск</w:t>
      </w:r>
      <w:r w:rsidR="007E6A6A" w:rsidRPr="00DF1530">
        <w:rPr>
          <w:lang w:val="ru-RU"/>
        </w:rPr>
        <w:t>ой</w:t>
      </w:r>
      <w:r w:rsidR="003F5CB4" w:rsidRPr="00DF1530">
        <w:rPr>
          <w:lang w:val="ru-RU"/>
        </w:rPr>
        <w:t xml:space="preserve"> деятельност</w:t>
      </w:r>
      <w:r w:rsidR="007E6A6A" w:rsidRPr="00DF1530">
        <w:rPr>
          <w:lang w:val="ru-RU"/>
        </w:rPr>
        <w:t>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9E3AC4" w:rsidRPr="00DF1530">
        <w:rPr>
          <w:lang w:val="ru-RU"/>
        </w:rPr>
        <w:t>В соответствии с</w:t>
      </w:r>
      <w:r w:rsidR="008C7A93" w:rsidRPr="00DF1530">
        <w:rPr>
          <w:lang w:val="ru-RU"/>
        </w:rPr>
        <w:t xml:space="preserve"> </w:t>
      </w:r>
      <w:r w:rsidR="009E3AC4" w:rsidRPr="00DF1530">
        <w:rPr>
          <w:lang w:val="ru-RU"/>
        </w:rPr>
        <w:t xml:space="preserve">растущим приоритетом </w:t>
      </w:r>
      <w:r w:rsidR="003F5CB4" w:rsidRPr="00DF1530">
        <w:rPr>
          <w:lang w:val="ru-RU"/>
        </w:rPr>
        <w:t>МСП и предпринимательск</w:t>
      </w:r>
      <w:r w:rsidR="009E3AC4" w:rsidRPr="00DF1530">
        <w:rPr>
          <w:lang w:val="ru-RU"/>
        </w:rPr>
        <w:t>ой</w:t>
      </w:r>
      <w:r w:rsidR="003F5CB4" w:rsidRPr="00DF1530">
        <w:rPr>
          <w:lang w:val="ru-RU"/>
        </w:rPr>
        <w:t xml:space="preserve"> деятельност</w:t>
      </w:r>
      <w:r w:rsidR="009E3AC4" w:rsidRPr="00DF1530">
        <w:rPr>
          <w:lang w:val="ru-RU"/>
        </w:rPr>
        <w:t>и</w:t>
      </w:r>
      <w:r w:rsidR="008C7A93" w:rsidRPr="00DF1530">
        <w:rPr>
          <w:lang w:val="ru-RU"/>
        </w:rPr>
        <w:t xml:space="preserve"> </w:t>
      </w:r>
      <w:r w:rsidR="009E3AC4" w:rsidRPr="00DF1530">
        <w:rPr>
          <w:lang w:val="ru-RU"/>
        </w:rPr>
        <w:t xml:space="preserve">планируемое финансирование увеличилось с </w:t>
      </w:r>
      <w:r w:rsidR="008C7A93" w:rsidRPr="00DF1530">
        <w:rPr>
          <w:lang w:val="ru-RU"/>
        </w:rPr>
        <w:t>1</w:t>
      </w:r>
      <w:r w:rsidR="009E3AC4" w:rsidRPr="00DF1530">
        <w:rPr>
          <w:lang w:val="ru-RU"/>
        </w:rPr>
        <w:t>,</w:t>
      </w:r>
      <w:r w:rsidR="008C7A93" w:rsidRPr="00DF1530">
        <w:rPr>
          <w:lang w:val="ru-RU"/>
        </w:rPr>
        <w:t xml:space="preserve">5 </w:t>
      </w:r>
      <w:r w:rsidR="009E3AC4" w:rsidRPr="00DF1530">
        <w:rPr>
          <w:lang w:val="ru-RU"/>
        </w:rPr>
        <w:t>миллиард</w:t>
      </w:r>
      <w:r w:rsidR="00383488" w:rsidRPr="00DF1530">
        <w:rPr>
          <w:lang w:val="ru-RU"/>
        </w:rPr>
        <w:t>ов</w:t>
      </w:r>
      <w:r w:rsidR="008C7A93" w:rsidRPr="00DF1530">
        <w:rPr>
          <w:lang w:val="ru-RU"/>
        </w:rPr>
        <w:t xml:space="preserve"> </w:t>
      </w:r>
      <w:r w:rsidR="0080016A" w:rsidRPr="00DF1530">
        <w:rPr>
          <w:lang w:val="ru-RU"/>
        </w:rPr>
        <w:t xml:space="preserve">рублей </w:t>
      </w:r>
      <w:r w:rsidR="009E3AC4" w:rsidRPr="00DF1530">
        <w:rPr>
          <w:lang w:val="ru-RU"/>
        </w:rPr>
        <w:t>в</w:t>
      </w:r>
      <w:r w:rsidR="008C7A93" w:rsidRPr="00DF1530">
        <w:rPr>
          <w:lang w:val="ru-RU"/>
        </w:rPr>
        <w:t xml:space="preserve"> 2005 </w:t>
      </w:r>
      <w:r w:rsidR="009E3AC4" w:rsidRPr="00DF1530">
        <w:rPr>
          <w:lang w:val="ru-RU"/>
        </w:rPr>
        <w:t xml:space="preserve">году до </w:t>
      </w:r>
      <w:r w:rsidR="008C7A93" w:rsidRPr="00DF1530">
        <w:rPr>
          <w:lang w:val="ru-RU"/>
        </w:rPr>
        <w:t>23</w:t>
      </w:r>
      <w:r w:rsidR="009E3AC4" w:rsidRPr="00DF1530">
        <w:rPr>
          <w:lang w:val="ru-RU"/>
        </w:rPr>
        <w:t>,</w:t>
      </w:r>
      <w:r w:rsidR="008C7A93" w:rsidRPr="00DF1530">
        <w:rPr>
          <w:lang w:val="ru-RU"/>
        </w:rPr>
        <w:t xml:space="preserve">04 </w:t>
      </w:r>
      <w:r w:rsidR="009E3AC4" w:rsidRPr="00DF1530">
        <w:rPr>
          <w:lang w:val="ru-RU"/>
        </w:rPr>
        <w:t>миллиард</w:t>
      </w:r>
      <w:r w:rsidR="00383488" w:rsidRPr="00DF1530">
        <w:rPr>
          <w:lang w:val="ru-RU"/>
        </w:rPr>
        <w:t>ов</w:t>
      </w:r>
      <w:r w:rsidR="009E3AC4" w:rsidRPr="00DF1530">
        <w:rPr>
          <w:lang w:val="ru-RU"/>
        </w:rPr>
        <w:t xml:space="preserve"> </w:t>
      </w:r>
      <w:r w:rsidR="0080016A" w:rsidRPr="00DF1530">
        <w:rPr>
          <w:lang w:val="ru-RU"/>
        </w:rPr>
        <w:t xml:space="preserve">рублей </w:t>
      </w:r>
      <w:r w:rsidR="009E3AC4" w:rsidRPr="00DF1530">
        <w:rPr>
          <w:lang w:val="ru-RU"/>
        </w:rPr>
        <w:t>в</w:t>
      </w:r>
      <w:r w:rsidR="008C7A93" w:rsidRPr="00DF1530">
        <w:rPr>
          <w:lang w:val="ru-RU"/>
        </w:rPr>
        <w:t xml:space="preserve"> 2014 </w:t>
      </w:r>
      <w:r w:rsidR="009E3AC4" w:rsidRPr="00DF1530">
        <w:rPr>
          <w:lang w:val="ru-RU"/>
        </w:rPr>
        <w:t xml:space="preserve">году </w:t>
      </w:r>
      <w:r w:rsidR="008C7A93" w:rsidRPr="00DF1530">
        <w:rPr>
          <w:lang w:val="ru-RU"/>
        </w:rPr>
        <w:t>(</w:t>
      </w:r>
      <w:r w:rsidR="00592D7B" w:rsidRPr="00DF1530">
        <w:rPr>
          <w:lang w:val="ru-RU"/>
        </w:rPr>
        <w:t>Рисунок</w:t>
      </w:r>
      <w:r w:rsidR="008C7A93" w:rsidRPr="00DF1530">
        <w:rPr>
          <w:lang w:val="ru-RU"/>
        </w:rPr>
        <w:t xml:space="preserve"> 1.13). </w:t>
      </w:r>
      <w:r w:rsidR="00BA3D0F" w:rsidRPr="00DF1530">
        <w:rPr>
          <w:lang w:val="ru-RU"/>
        </w:rPr>
        <w:t>В результате</w:t>
      </w:r>
      <w:r w:rsidR="008C7A93" w:rsidRPr="00DF1530">
        <w:rPr>
          <w:lang w:val="ru-RU"/>
        </w:rPr>
        <w:t xml:space="preserve"> </w:t>
      </w:r>
      <w:r w:rsidR="009E3AC4" w:rsidRPr="00DF1530">
        <w:rPr>
          <w:lang w:val="ru-RU"/>
        </w:rPr>
        <w:t xml:space="preserve">бюджет по </w:t>
      </w:r>
      <w:r w:rsidR="003F5CB4" w:rsidRPr="00DF1530">
        <w:rPr>
          <w:lang w:val="ru-RU"/>
        </w:rPr>
        <w:t>МСП и предпринимательск</w:t>
      </w:r>
      <w:r w:rsidR="009E3AC4" w:rsidRPr="00DF1530">
        <w:rPr>
          <w:lang w:val="ru-RU"/>
        </w:rPr>
        <w:t>ой</w:t>
      </w:r>
      <w:r w:rsidR="003F5CB4" w:rsidRPr="00DF1530">
        <w:rPr>
          <w:lang w:val="ru-RU"/>
        </w:rPr>
        <w:t xml:space="preserve"> деятельност</w:t>
      </w:r>
      <w:r w:rsidR="009E3AC4" w:rsidRPr="00DF1530">
        <w:rPr>
          <w:lang w:val="ru-RU"/>
        </w:rPr>
        <w:t>и</w:t>
      </w:r>
      <w:r w:rsidR="008C7A93" w:rsidRPr="00DF1530">
        <w:rPr>
          <w:lang w:val="ru-RU"/>
        </w:rPr>
        <w:t xml:space="preserve"> </w:t>
      </w:r>
      <w:r w:rsidR="009E3AC4" w:rsidRPr="00DF1530">
        <w:rPr>
          <w:lang w:val="ru-RU"/>
        </w:rPr>
        <w:t xml:space="preserve">в процентах от </w:t>
      </w:r>
      <w:r w:rsidR="00592D7B" w:rsidRPr="00DF1530">
        <w:rPr>
          <w:lang w:val="ru-RU"/>
        </w:rPr>
        <w:t>ВВП</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9E3AC4" w:rsidRPr="00DF1530">
        <w:rPr>
          <w:lang w:val="ru-RU"/>
        </w:rPr>
        <w:t>в настоящее время соответствует другим странам, по которым имеются данные</w:t>
      </w:r>
      <w:r w:rsidR="008C7A93" w:rsidRPr="00DF1530">
        <w:rPr>
          <w:lang w:val="ru-RU"/>
        </w:rPr>
        <w:t xml:space="preserve">. </w:t>
      </w:r>
    </w:p>
    <w:p w:rsidR="008C7A93" w:rsidRPr="00DF1530" w:rsidRDefault="00592D7B" w:rsidP="008C7A93">
      <w:pPr>
        <w:pStyle w:val="FigureTitle"/>
        <w:rPr>
          <w:lang w:val="ru-RU" w:eastAsia="en-US"/>
        </w:rPr>
      </w:pPr>
      <w:r w:rsidRPr="00DF1530">
        <w:rPr>
          <w:lang w:val="ru-RU" w:eastAsia="en-US"/>
        </w:rPr>
        <w:t>Рисунок</w:t>
      </w:r>
      <w:r w:rsidR="008C7A93" w:rsidRPr="00DF1530">
        <w:rPr>
          <w:lang w:val="ru-RU" w:eastAsia="en-US"/>
        </w:rPr>
        <w:t xml:space="preserve"> 1.13.</w:t>
      </w:r>
      <w:r w:rsidR="008C7A93" w:rsidRPr="00DF1530">
        <w:rPr>
          <w:lang w:val="ru-RU" w:eastAsia="en-US"/>
        </w:rPr>
        <w:tab/>
      </w:r>
      <w:r w:rsidR="00EB1372" w:rsidRPr="00DF1530">
        <w:rPr>
          <w:lang w:val="ru-RU" w:eastAsia="en-US"/>
        </w:rPr>
        <w:t>Федеральны</w:t>
      </w:r>
      <w:r w:rsidR="0030216D" w:rsidRPr="00DF1530">
        <w:rPr>
          <w:lang w:val="ru-RU" w:eastAsia="en-US"/>
        </w:rPr>
        <w:t>е</w:t>
      </w:r>
      <w:r w:rsidR="008C7A93" w:rsidRPr="00DF1530">
        <w:rPr>
          <w:lang w:val="ru-RU" w:eastAsia="en-US"/>
        </w:rPr>
        <w:t xml:space="preserve"> </w:t>
      </w:r>
      <w:r w:rsidR="0030216D" w:rsidRPr="00DF1530">
        <w:rPr>
          <w:lang w:val="ru-RU" w:eastAsia="en-US"/>
        </w:rPr>
        <w:t xml:space="preserve">бюджетные средства, выделяемые на </w:t>
      </w:r>
      <w:r w:rsidR="0023536F" w:rsidRPr="00DF1530">
        <w:rPr>
          <w:lang w:val="ru-RU" w:eastAsia="en-US"/>
        </w:rPr>
        <w:t>программ</w:t>
      </w:r>
      <w:r w:rsidR="0030216D" w:rsidRPr="00DF1530">
        <w:rPr>
          <w:lang w:val="ru-RU" w:eastAsia="en-US"/>
        </w:rPr>
        <w:t>у по МСП</w:t>
      </w:r>
      <w:r w:rsidR="008C7A93" w:rsidRPr="00DF1530">
        <w:rPr>
          <w:lang w:val="ru-RU" w:eastAsia="en-US"/>
        </w:rPr>
        <w:t>, 2005-15</w:t>
      </w:r>
      <w:r w:rsidR="0030216D" w:rsidRPr="00DF1530">
        <w:rPr>
          <w:lang w:val="ru-RU" w:eastAsia="en-US"/>
        </w:rPr>
        <w:t xml:space="preserve"> гг.</w:t>
      </w:r>
      <w:r w:rsidR="009030BD" w:rsidRPr="00DF1530">
        <w:rPr>
          <w:lang w:val="ru-RU" w:eastAsia="en-US"/>
        </w:rPr>
        <w:fldChar w:fldCharType="begin"/>
      </w:r>
      <w:r w:rsidR="008C7A93" w:rsidRPr="00DF1530">
        <w:rPr>
          <w:lang w:val="ru-RU" w:eastAsia="en-US"/>
        </w:rPr>
        <w:instrText xml:space="preserve"> TC \f f \l 2 "Figure 1.13.</w:instrText>
      </w:r>
      <w:r w:rsidR="008C7A93" w:rsidRPr="00DF1530">
        <w:rPr>
          <w:lang w:val="ru-RU" w:eastAsia="en-US"/>
        </w:rPr>
        <w:tab/>
        <w:instrText xml:space="preserve">Federal budget funds allocated to the SME programme, 2005-15"  </w:instrText>
      </w:r>
      <w:r w:rsidR="009030BD" w:rsidRPr="00DF1530">
        <w:rPr>
          <w:lang w:val="ru-RU" w:eastAsia="en-US"/>
        </w:rPr>
        <w:fldChar w:fldCharType="end"/>
      </w:r>
    </w:p>
    <w:p w:rsidR="008C7A93" w:rsidRPr="00DF1530" w:rsidRDefault="008C7A93" w:rsidP="008C7A93">
      <w:pPr>
        <w:pStyle w:val="Graphic"/>
        <w:keepNext/>
        <w:keepLines/>
        <w:rPr>
          <w:lang w:val="ru-RU"/>
        </w:rPr>
      </w:pPr>
      <w:r w:rsidRPr="00DF1530">
        <w:rPr>
          <w:noProof/>
          <w:lang w:val="ru-RU" w:eastAsia="ru-RU"/>
        </w:rPr>
        <w:drawing>
          <wp:inline distT="0" distB="0" distL="0" distR="0">
            <wp:extent cx="5354955" cy="2597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4955" cy="2597150"/>
                    </a:xfrm>
                    <a:prstGeom prst="rect">
                      <a:avLst/>
                    </a:prstGeom>
                    <a:noFill/>
                    <a:ln>
                      <a:noFill/>
                    </a:ln>
                  </pic:spPr>
                </pic:pic>
              </a:graphicData>
            </a:graphic>
          </wp:inline>
        </w:drawing>
      </w:r>
    </w:p>
    <w:p w:rsidR="00635D7C" w:rsidRPr="00DF1530" w:rsidRDefault="00635D7C" w:rsidP="008C7A93">
      <w:pPr>
        <w:keepNext/>
        <w:keepLines/>
        <w:spacing w:after="240"/>
        <w:jc w:val="left"/>
        <w:rPr>
          <w:rFonts w:ascii="Arial" w:hAnsi="Arial" w:cs="Arial"/>
          <w:sz w:val="16"/>
          <w:szCs w:val="16"/>
          <w:lang w:val="ru-RU"/>
        </w:rPr>
      </w:pPr>
      <w:r w:rsidRPr="00DF1530">
        <w:rPr>
          <w:rFonts w:ascii="Arial" w:hAnsi="Arial" w:cs="Arial"/>
          <w:sz w:val="16"/>
          <w:szCs w:val="16"/>
          <w:lang w:val="ru-RU"/>
        </w:rPr>
        <w:t>Сумма (в миллиардах рублей)</w:t>
      </w:r>
    </w:p>
    <w:p w:rsidR="008C7A93" w:rsidRPr="00DF1530" w:rsidRDefault="00635D7C" w:rsidP="008C7A93">
      <w:pPr>
        <w:keepNext/>
        <w:keepLines/>
        <w:spacing w:after="240"/>
        <w:jc w:val="left"/>
        <w:rPr>
          <w:rFonts w:ascii="Arial" w:hAnsi="Arial" w:cs="Arial"/>
          <w:sz w:val="16"/>
          <w:szCs w:val="16"/>
          <w:lang w:val="ru-RU"/>
        </w:rPr>
      </w:pPr>
      <w:r w:rsidRPr="00DF1530">
        <w:rPr>
          <w:rFonts w:ascii="Arial" w:hAnsi="Arial" w:cs="Arial"/>
          <w:sz w:val="16"/>
          <w:szCs w:val="16"/>
          <w:lang w:val="ru-RU"/>
        </w:rPr>
        <w:t>Примечания:</w:t>
      </w:r>
      <w:r w:rsidR="008C7A93" w:rsidRPr="00DF1530">
        <w:rPr>
          <w:rFonts w:ascii="Arial" w:hAnsi="Arial" w:cs="Arial"/>
          <w:sz w:val="16"/>
          <w:szCs w:val="16"/>
          <w:lang w:val="ru-RU"/>
        </w:rPr>
        <w:t xml:space="preserve"> </w:t>
      </w:r>
      <w:r w:rsidRPr="00DF1530">
        <w:rPr>
          <w:rFonts w:ascii="Arial" w:hAnsi="Arial" w:cs="Arial"/>
          <w:sz w:val="16"/>
          <w:szCs w:val="16"/>
          <w:lang w:val="ru-RU"/>
        </w:rPr>
        <w:t xml:space="preserve">Суммы на </w:t>
      </w:r>
      <w:r w:rsidR="008C7A93" w:rsidRPr="00DF1530">
        <w:rPr>
          <w:rFonts w:ascii="Arial" w:hAnsi="Arial" w:cs="Arial"/>
          <w:sz w:val="16"/>
          <w:szCs w:val="16"/>
          <w:lang w:val="ru-RU"/>
        </w:rPr>
        <w:t xml:space="preserve">2014 </w:t>
      </w:r>
      <w:r w:rsidRPr="00DF1530">
        <w:rPr>
          <w:rFonts w:ascii="Arial" w:hAnsi="Arial" w:cs="Arial"/>
          <w:sz w:val="16"/>
          <w:szCs w:val="16"/>
          <w:lang w:val="ru-RU"/>
        </w:rPr>
        <w:t xml:space="preserve">и </w:t>
      </w:r>
      <w:r w:rsidR="008C7A93" w:rsidRPr="00DF1530">
        <w:rPr>
          <w:rFonts w:ascii="Arial" w:hAnsi="Arial" w:cs="Arial"/>
          <w:sz w:val="16"/>
          <w:szCs w:val="16"/>
          <w:lang w:val="ru-RU"/>
        </w:rPr>
        <w:t xml:space="preserve">2015 </w:t>
      </w:r>
      <w:r w:rsidRPr="00DF1530">
        <w:rPr>
          <w:rFonts w:ascii="Arial" w:hAnsi="Arial" w:cs="Arial"/>
          <w:sz w:val="16"/>
          <w:szCs w:val="16"/>
          <w:lang w:val="ru-RU"/>
        </w:rPr>
        <w:t>гг. являются расчетными</w:t>
      </w:r>
      <w:r w:rsidR="008C7A93" w:rsidRPr="00DF1530">
        <w:rPr>
          <w:rFonts w:ascii="Arial" w:hAnsi="Arial" w:cs="Arial"/>
          <w:sz w:val="16"/>
          <w:szCs w:val="16"/>
          <w:lang w:val="ru-RU"/>
        </w:rPr>
        <w:t>.</w:t>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635D7C" w:rsidRPr="00DF1530">
        <w:rPr>
          <w:lang w:val="ru-RU"/>
        </w:rPr>
        <w:t xml:space="preserve">Министерство экономического развития </w:t>
      </w:r>
      <w:r w:rsidR="005E53F2" w:rsidRPr="00DF1530">
        <w:rPr>
          <w:lang w:val="ru-RU"/>
        </w:rPr>
        <w:t>Российск</w:t>
      </w:r>
      <w:r w:rsidR="00635D7C" w:rsidRPr="00DF1530">
        <w:rPr>
          <w:lang w:val="ru-RU"/>
        </w:rPr>
        <w:t>ой</w:t>
      </w:r>
      <w:r w:rsidR="005E53F2" w:rsidRPr="00DF1530">
        <w:rPr>
          <w:lang w:val="ru-RU"/>
        </w:rPr>
        <w:t xml:space="preserve"> Федераци</w:t>
      </w:r>
      <w:r w:rsidR="00635D7C" w:rsidRPr="00DF1530">
        <w:rPr>
          <w:lang w:val="ru-RU"/>
        </w:rPr>
        <w:t>и</w:t>
      </w:r>
      <w:r w:rsidR="008C7A93" w:rsidRPr="00DF1530">
        <w:rPr>
          <w:lang w:val="ru-RU"/>
        </w:rPr>
        <w:t xml:space="preserve">. </w:t>
      </w:r>
    </w:p>
    <w:p w:rsidR="008C7A93" w:rsidRPr="00DF1530" w:rsidRDefault="009030BD" w:rsidP="008C7A93">
      <w:pPr>
        <w:pStyle w:val="Num-DocParagraph"/>
        <w:rPr>
          <w:rFonts w:ascii="Times-Roman" w:hAnsi="Times-Roman" w:cs="Times-Roman"/>
          <w:lang w:val="ru-RU" w:eastAsia="en-US"/>
        </w:rPr>
      </w:pPr>
      <w:r w:rsidRPr="00DF1530">
        <w:rPr>
          <w:lang w:val="ru-RU"/>
        </w:rPr>
        <w:lastRenderedPageBreak/>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Кроме того</w:t>
      </w:r>
      <w:r w:rsidR="008C7A93" w:rsidRPr="00DF1530">
        <w:rPr>
          <w:lang w:val="ru-RU"/>
        </w:rPr>
        <w:t xml:space="preserve">, </w:t>
      </w:r>
      <w:r w:rsidR="00EB1372" w:rsidRPr="00DF1530">
        <w:rPr>
          <w:lang w:val="ru-RU"/>
        </w:rPr>
        <w:t>федеральн</w:t>
      </w:r>
      <w:r w:rsidR="00635D7C" w:rsidRPr="00DF1530">
        <w:rPr>
          <w:lang w:val="ru-RU"/>
        </w:rPr>
        <w:t xml:space="preserve">ая </w:t>
      </w:r>
      <w:r w:rsidR="0023536F" w:rsidRPr="00DF1530">
        <w:rPr>
          <w:lang w:val="ru-RU"/>
        </w:rPr>
        <w:t>программа</w:t>
      </w:r>
      <w:r w:rsidR="008C7A93" w:rsidRPr="00DF1530">
        <w:rPr>
          <w:lang w:val="ru-RU"/>
        </w:rPr>
        <w:t xml:space="preserve"> </w:t>
      </w:r>
      <w:r w:rsidR="00635D7C" w:rsidRPr="00DF1530">
        <w:rPr>
          <w:lang w:val="ru-RU"/>
        </w:rPr>
        <w:t>поддержки МСП меняется в соответствии с</w:t>
      </w:r>
      <w:r w:rsidR="008C7A93" w:rsidRPr="00DF1530">
        <w:rPr>
          <w:lang w:val="ru-RU"/>
        </w:rPr>
        <w:t xml:space="preserve"> </w:t>
      </w:r>
      <w:r w:rsidR="00635D7C" w:rsidRPr="00DF1530">
        <w:rPr>
          <w:lang w:val="ru-RU"/>
        </w:rPr>
        <w:t>новыми приоритетами</w:t>
      </w:r>
      <w:r w:rsidR="008C7A93" w:rsidRPr="00DF1530">
        <w:rPr>
          <w:lang w:val="ru-RU"/>
        </w:rPr>
        <w:t xml:space="preserve">. </w:t>
      </w:r>
      <w:r w:rsidR="00F736B7" w:rsidRPr="00DF1530">
        <w:rPr>
          <w:lang w:val="ru-RU"/>
        </w:rPr>
        <w:t>В частности</w:t>
      </w:r>
      <w:r w:rsidR="008C7A93" w:rsidRPr="00DF1530">
        <w:rPr>
          <w:lang w:val="ru-RU"/>
        </w:rPr>
        <w:t xml:space="preserve">, </w:t>
      </w:r>
      <w:r w:rsidR="00635D7C" w:rsidRPr="00DF1530">
        <w:rPr>
          <w:lang w:val="ru-RU"/>
        </w:rPr>
        <w:t xml:space="preserve">недавно были приняты новые </w:t>
      </w:r>
      <w:r w:rsidR="0023536F" w:rsidRPr="00DF1530">
        <w:rPr>
          <w:lang w:val="ru-RU"/>
        </w:rPr>
        <w:t>программы</w:t>
      </w:r>
      <w:r w:rsidR="008C7A93" w:rsidRPr="00DF1530">
        <w:rPr>
          <w:lang w:val="ru-RU"/>
        </w:rPr>
        <w:t xml:space="preserve"> </w:t>
      </w:r>
      <w:r w:rsidR="00635D7C" w:rsidRPr="00DF1530">
        <w:rPr>
          <w:lang w:val="ru-RU"/>
        </w:rPr>
        <w:t xml:space="preserve">по созданию социальных </w:t>
      </w:r>
      <w:r w:rsidR="00834072" w:rsidRPr="00DF1530">
        <w:rPr>
          <w:lang w:val="ru-RU"/>
        </w:rPr>
        <w:t>предприяти</w:t>
      </w:r>
      <w:r w:rsidR="00635D7C" w:rsidRPr="00DF1530">
        <w:rPr>
          <w:lang w:val="ru-RU"/>
        </w:rPr>
        <w:t>й</w:t>
      </w:r>
      <w:r w:rsidR="008C7A93" w:rsidRPr="00DF1530">
        <w:rPr>
          <w:lang w:val="ru-RU"/>
        </w:rPr>
        <w:t xml:space="preserve">, </w:t>
      </w:r>
      <w:r w:rsidR="00635D7C" w:rsidRPr="00DF1530">
        <w:rPr>
          <w:lang w:val="ru-RU"/>
        </w:rPr>
        <w:t>аутсорсингу товаров и услуг</w:t>
      </w:r>
      <w:r w:rsidR="008C7A93" w:rsidRPr="00DF1530">
        <w:rPr>
          <w:lang w:val="ru-RU"/>
        </w:rPr>
        <w:t xml:space="preserve"> </w:t>
      </w:r>
      <w:r w:rsidR="00635D7C" w:rsidRPr="00DF1530">
        <w:rPr>
          <w:lang w:val="ru-RU"/>
        </w:rPr>
        <w:t xml:space="preserve">государственными предприятиями в </w:t>
      </w:r>
      <w:r w:rsidR="00F736B7" w:rsidRPr="00DF1530">
        <w:rPr>
          <w:lang w:val="ru-RU"/>
        </w:rPr>
        <w:t>МСП</w:t>
      </w:r>
      <w:r w:rsidR="008C7A93" w:rsidRPr="00DF1530">
        <w:rPr>
          <w:lang w:val="ru-RU"/>
        </w:rPr>
        <w:t xml:space="preserve">, </w:t>
      </w:r>
      <w:r w:rsidR="00635D7C" w:rsidRPr="00DF1530">
        <w:rPr>
          <w:lang w:val="ru-RU"/>
        </w:rPr>
        <w:t>поддержк</w:t>
      </w:r>
      <w:r w:rsidR="009D3345" w:rsidRPr="00DF1530">
        <w:rPr>
          <w:lang w:val="ru-RU"/>
        </w:rPr>
        <w:t>е</w:t>
      </w:r>
      <w:r w:rsidR="00635D7C" w:rsidRPr="00DF1530">
        <w:rPr>
          <w:lang w:val="ru-RU"/>
        </w:rPr>
        <w:t xml:space="preserve"> молодежных и</w:t>
      </w:r>
      <w:r w:rsidR="00D3769A" w:rsidRPr="00DF1530">
        <w:rPr>
          <w:lang w:val="ru-RU"/>
        </w:rPr>
        <w:t>нноваци</w:t>
      </w:r>
      <w:r w:rsidR="00635D7C" w:rsidRPr="00DF1530">
        <w:rPr>
          <w:lang w:val="ru-RU"/>
        </w:rPr>
        <w:t>онных творческих центров</w:t>
      </w:r>
      <w:r w:rsidR="008C7A93" w:rsidRPr="00DF1530">
        <w:rPr>
          <w:lang w:val="ru-RU"/>
        </w:rPr>
        <w:t xml:space="preserve"> </w:t>
      </w:r>
      <w:r w:rsidR="00635D7C" w:rsidRPr="00DF1530">
        <w:rPr>
          <w:lang w:val="ru-RU"/>
        </w:rPr>
        <w:t xml:space="preserve">и повышению энергоэффективности </w:t>
      </w:r>
      <w:r w:rsidR="00F736B7" w:rsidRPr="00DF1530">
        <w:rPr>
          <w:lang w:val="ru-RU"/>
        </w:rPr>
        <w:t>МСП</w:t>
      </w:r>
      <w:r w:rsidR="008C7A93" w:rsidRPr="00DF1530">
        <w:rPr>
          <w:lang w:val="ru-RU"/>
        </w:rPr>
        <w:t>.</w:t>
      </w:r>
      <w:r w:rsidR="008C7A93" w:rsidRPr="00DF1530">
        <w:rPr>
          <w:rFonts w:ascii="Times-Roman" w:hAnsi="Times-Roman" w:cs="Times-Roman"/>
          <w:lang w:val="ru-RU" w:eastAsia="en-US"/>
        </w:rPr>
        <w:t xml:space="preserve"> </w:t>
      </w:r>
    </w:p>
    <w:p w:rsidR="008C7A93" w:rsidRPr="00DF1530" w:rsidRDefault="009D3345" w:rsidP="008C7A93">
      <w:pPr>
        <w:pStyle w:val="31"/>
        <w:rPr>
          <w:lang w:val="ru-RU"/>
        </w:rPr>
      </w:pPr>
      <w:r w:rsidRPr="00DF1530">
        <w:rPr>
          <w:lang w:val="ru-RU"/>
        </w:rPr>
        <w:t>Чрезмерн</w:t>
      </w:r>
      <w:r w:rsidR="00BA1F08" w:rsidRPr="00DF1530">
        <w:rPr>
          <w:lang w:val="ru-RU"/>
        </w:rPr>
        <w:t>ы</w:t>
      </w:r>
      <w:r w:rsidRPr="00DF1530">
        <w:rPr>
          <w:lang w:val="ru-RU"/>
        </w:rPr>
        <w:t>е нецелевы</w:t>
      </w:r>
      <w:r w:rsidR="00BA1F08" w:rsidRPr="00DF1530">
        <w:rPr>
          <w:lang w:val="ru-RU"/>
        </w:rPr>
        <w:t>е</w:t>
      </w:r>
      <w:r w:rsidRPr="00DF1530">
        <w:rPr>
          <w:lang w:val="ru-RU"/>
        </w:rPr>
        <w:t xml:space="preserve"> грант</w:t>
      </w:r>
      <w:r w:rsidR="00BA1F08" w:rsidRPr="00DF1530">
        <w:rPr>
          <w:lang w:val="ru-RU"/>
        </w:rPr>
        <w:t>ы</w:t>
      </w:r>
      <w:r w:rsidRPr="00DF1530">
        <w:rPr>
          <w:lang w:val="ru-RU"/>
        </w:rPr>
        <w:t xml:space="preserve"> в комплексе мер в области политики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A1F08" w:rsidRPr="00DF1530">
        <w:rPr>
          <w:lang w:val="ru-RU"/>
        </w:rPr>
        <w:t>Важная часть государственных расходов в федеральной программе поддержки МСП</w:t>
      </w:r>
      <w:r w:rsidR="008C7A93" w:rsidRPr="00DF1530">
        <w:rPr>
          <w:lang w:val="ru-RU"/>
        </w:rPr>
        <w:t xml:space="preserve"> </w:t>
      </w:r>
      <w:r w:rsidR="00BA1F08" w:rsidRPr="00DF1530">
        <w:rPr>
          <w:lang w:val="ru-RU"/>
        </w:rPr>
        <w:t>приходится на неконкурентные гранты для МСП и предпринимателей</w:t>
      </w:r>
      <w:r w:rsidR="008C7A93" w:rsidRPr="00DF1530">
        <w:rPr>
          <w:lang w:val="ru-RU"/>
        </w:rPr>
        <w:t xml:space="preserve">. </w:t>
      </w:r>
      <w:r w:rsidR="00BA1F08" w:rsidRPr="00DF1530">
        <w:rPr>
          <w:lang w:val="ru-RU"/>
        </w:rPr>
        <w:t>Так</w:t>
      </w:r>
      <w:r w:rsidR="008C7A93" w:rsidRPr="00DF1530">
        <w:rPr>
          <w:lang w:val="ru-RU"/>
        </w:rPr>
        <w:t xml:space="preserve">, </w:t>
      </w:r>
      <w:r w:rsidR="00F736B7" w:rsidRPr="00DF1530">
        <w:rPr>
          <w:lang w:val="ru-RU"/>
        </w:rPr>
        <w:t>в 2012 году</w:t>
      </w:r>
      <w:r w:rsidR="008C7A93" w:rsidRPr="00DF1530">
        <w:rPr>
          <w:lang w:val="ru-RU"/>
        </w:rPr>
        <w:t xml:space="preserve"> 22</w:t>
      </w:r>
      <w:r w:rsidR="00BA1F08" w:rsidRPr="00DF1530">
        <w:rPr>
          <w:lang w:val="ru-RU"/>
        </w:rPr>
        <w:t>,</w:t>
      </w:r>
      <w:r w:rsidR="008C7A93" w:rsidRPr="00DF1530">
        <w:rPr>
          <w:lang w:val="ru-RU"/>
        </w:rPr>
        <w:t xml:space="preserve">4% </w:t>
      </w:r>
      <w:r w:rsidR="00BA1F08" w:rsidRPr="00DF1530">
        <w:rPr>
          <w:lang w:val="ru-RU"/>
        </w:rPr>
        <w:t>бюджета программы</w:t>
      </w:r>
      <w:r w:rsidR="008C7A93" w:rsidRPr="00DF1530">
        <w:rPr>
          <w:lang w:val="ru-RU"/>
        </w:rPr>
        <w:t xml:space="preserve"> </w:t>
      </w:r>
      <w:r w:rsidR="00BA1F08" w:rsidRPr="00DF1530">
        <w:rPr>
          <w:lang w:val="ru-RU"/>
        </w:rPr>
        <w:t>фактически представляли собой гранты на аренду или покупку оборудования</w:t>
      </w:r>
      <w:r w:rsidR="008C7A93" w:rsidRPr="00DF1530">
        <w:rPr>
          <w:lang w:val="ru-RU"/>
        </w:rPr>
        <w:t xml:space="preserve"> </w:t>
      </w:r>
      <w:r w:rsidR="00BA1F08" w:rsidRPr="00DF1530">
        <w:rPr>
          <w:lang w:val="ru-RU"/>
        </w:rPr>
        <w:t>и недвижимости малыми и средними предприятиями</w:t>
      </w:r>
      <w:r w:rsidR="008C7A93" w:rsidRPr="00DF1530">
        <w:rPr>
          <w:lang w:val="ru-RU"/>
        </w:rPr>
        <w:t xml:space="preserve">. </w:t>
      </w:r>
      <w:r w:rsidR="00700FDA" w:rsidRPr="00DF1530">
        <w:rPr>
          <w:lang w:val="ru-RU"/>
        </w:rPr>
        <w:t xml:space="preserve">Гранты </w:t>
      </w:r>
      <w:r w:rsidR="00592D7B" w:rsidRPr="00DF1530">
        <w:rPr>
          <w:lang w:val="ru-RU"/>
        </w:rPr>
        <w:t>также</w:t>
      </w:r>
      <w:r w:rsidR="008C7A93" w:rsidRPr="00DF1530">
        <w:rPr>
          <w:lang w:val="ru-RU"/>
        </w:rPr>
        <w:t xml:space="preserve"> </w:t>
      </w:r>
      <w:r w:rsidR="00700FDA" w:rsidRPr="00DF1530">
        <w:rPr>
          <w:lang w:val="ru-RU"/>
        </w:rPr>
        <w:t xml:space="preserve">составляли большую часть </w:t>
      </w:r>
      <w:r w:rsidR="008C7A93" w:rsidRPr="00DF1530">
        <w:rPr>
          <w:lang w:val="ru-RU"/>
        </w:rPr>
        <w:t>9</w:t>
      </w:r>
      <w:r w:rsidR="00700FDA" w:rsidRPr="00DF1530">
        <w:rPr>
          <w:lang w:val="ru-RU"/>
        </w:rPr>
        <w:t>,</w:t>
      </w:r>
      <w:r w:rsidR="008C7A93" w:rsidRPr="00DF1530">
        <w:rPr>
          <w:lang w:val="ru-RU"/>
        </w:rPr>
        <w:t xml:space="preserve">2% </w:t>
      </w:r>
      <w:r w:rsidR="00700FDA" w:rsidRPr="00DF1530">
        <w:rPr>
          <w:lang w:val="ru-RU"/>
        </w:rPr>
        <w:t xml:space="preserve">бюджета, выделенных на новую </w:t>
      </w:r>
      <w:r w:rsidR="00834072" w:rsidRPr="00DF1530">
        <w:rPr>
          <w:lang w:val="ru-RU"/>
        </w:rPr>
        <w:t>предпринимательск</w:t>
      </w:r>
      <w:r w:rsidR="00700FDA" w:rsidRPr="00DF1530">
        <w:rPr>
          <w:lang w:val="ru-RU"/>
        </w:rPr>
        <w:t>ую</w:t>
      </w:r>
      <w:r w:rsidR="00834072" w:rsidRPr="00DF1530">
        <w:rPr>
          <w:lang w:val="ru-RU"/>
        </w:rPr>
        <w:t xml:space="preserve"> деятельность</w:t>
      </w:r>
      <w:r w:rsidR="008C7A93" w:rsidRPr="00DF1530">
        <w:rPr>
          <w:lang w:val="ru-RU"/>
        </w:rPr>
        <w:t xml:space="preserve"> </w:t>
      </w:r>
      <w:r w:rsidR="00700FDA" w:rsidRPr="00DF1530">
        <w:rPr>
          <w:lang w:val="ru-RU"/>
        </w:rPr>
        <w:t xml:space="preserve">и создание новых предприятий, и составляют </w:t>
      </w:r>
      <w:r w:rsidR="00834072" w:rsidRPr="00DF1530">
        <w:rPr>
          <w:lang w:val="ru-RU"/>
        </w:rPr>
        <w:t>значительн</w:t>
      </w:r>
      <w:r w:rsidR="00700FDA" w:rsidRPr="00DF1530">
        <w:rPr>
          <w:lang w:val="ru-RU"/>
        </w:rPr>
        <w:t xml:space="preserve">ую часть </w:t>
      </w:r>
      <w:r w:rsidR="008C7A93" w:rsidRPr="00DF1530">
        <w:rPr>
          <w:lang w:val="ru-RU"/>
        </w:rPr>
        <w:t>10</w:t>
      </w:r>
      <w:r w:rsidR="00700FDA" w:rsidRPr="00DF1530">
        <w:rPr>
          <w:lang w:val="ru-RU"/>
        </w:rPr>
        <w:t>,</w:t>
      </w:r>
      <w:r w:rsidR="008C7A93" w:rsidRPr="00DF1530">
        <w:rPr>
          <w:lang w:val="ru-RU"/>
        </w:rPr>
        <w:t xml:space="preserve">2% </w:t>
      </w:r>
      <w:r w:rsidR="00700FDA" w:rsidRPr="00DF1530">
        <w:rPr>
          <w:lang w:val="ru-RU"/>
        </w:rPr>
        <w:t>бюджета, выделенных на микрофинансирование</w:t>
      </w:r>
      <w:r w:rsidR="008C7A93" w:rsidRPr="00DF1530">
        <w:rPr>
          <w:lang w:val="ru-RU"/>
        </w:rPr>
        <w:t xml:space="preserve">. </w:t>
      </w:r>
      <w:r w:rsidR="007C68D2" w:rsidRPr="00DF1530">
        <w:rPr>
          <w:lang w:val="ru-RU"/>
        </w:rPr>
        <w:t>Однако</w:t>
      </w:r>
      <w:r w:rsidR="008C7A93" w:rsidRPr="00DF1530">
        <w:rPr>
          <w:lang w:val="ru-RU"/>
        </w:rPr>
        <w:t xml:space="preserve"> </w:t>
      </w:r>
      <w:r w:rsidR="008353AD" w:rsidRPr="00DF1530">
        <w:rPr>
          <w:lang w:val="ru-RU"/>
        </w:rPr>
        <w:t>по ряду причин эти гранты</w:t>
      </w:r>
      <w:r w:rsidR="008C7A93" w:rsidRPr="00DF1530">
        <w:rPr>
          <w:lang w:val="ru-RU"/>
        </w:rPr>
        <w:t xml:space="preserve"> </w:t>
      </w:r>
      <w:r w:rsidR="008353AD" w:rsidRPr="00DF1530">
        <w:rPr>
          <w:lang w:val="ru-RU"/>
        </w:rPr>
        <w:t xml:space="preserve">не будут столь же эффективными, как другие инструменты в действующем комплексе мер в области </w:t>
      </w:r>
      <w:r w:rsidR="00EB1372" w:rsidRPr="00DF1530">
        <w:rPr>
          <w:lang w:val="ru-RU"/>
        </w:rPr>
        <w:t>политик</w:t>
      </w:r>
      <w:r w:rsidR="008353AD"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r w:rsidR="008353AD" w:rsidRPr="00DF1530">
        <w:rPr>
          <w:lang w:val="ru-RU"/>
        </w:rPr>
        <w:t>и новых мерах, которые будут разработаны</w:t>
      </w:r>
      <w:r w:rsidR="008C7A93" w:rsidRPr="00DF1530">
        <w:rPr>
          <w:lang w:val="ru-RU"/>
        </w:rPr>
        <w:t xml:space="preserve">. </w:t>
      </w:r>
      <w:r w:rsidR="008353AD" w:rsidRPr="00DF1530">
        <w:rPr>
          <w:lang w:val="ru-RU"/>
        </w:rPr>
        <w:t xml:space="preserve">Они широко и экономно распределяются среди </w:t>
      </w:r>
      <w:r w:rsidR="00BA1F08" w:rsidRPr="00DF1530">
        <w:rPr>
          <w:lang w:val="ru-RU"/>
        </w:rPr>
        <w:t>МСП и предпринимател</w:t>
      </w:r>
      <w:r w:rsidR="008353AD" w:rsidRPr="00DF1530">
        <w:rPr>
          <w:lang w:val="ru-RU"/>
        </w:rPr>
        <w:t>ей</w:t>
      </w:r>
      <w:r w:rsidR="008C7A93" w:rsidRPr="00DF1530">
        <w:rPr>
          <w:lang w:val="ru-RU"/>
        </w:rPr>
        <w:t xml:space="preserve">. </w:t>
      </w:r>
      <w:r w:rsidR="008353AD" w:rsidRPr="00DF1530">
        <w:rPr>
          <w:lang w:val="ru-RU"/>
        </w:rPr>
        <w:t>Они недостаточно крупные, чтобы существенно изменить практику работы предприятия, и не увязаны с дополнительными мерами поддержки и обязательствами предприятий обновить практику своей работы</w:t>
      </w:r>
      <w:r w:rsidR="008C7A93" w:rsidRPr="00DF1530">
        <w:rPr>
          <w:lang w:val="ru-RU"/>
        </w:rPr>
        <w:t xml:space="preserve">. </w:t>
      </w:r>
      <w:r w:rsidR="008353AD" w:rsidRPr="00DF1530">
        <w:rPr>
          <w:lang w:val="ru-RU"/>
        </w:rPr>
        <w:t xml:space="preserve">Они не сосредоточены на тех типах предприятий, которые наиболее сильно влияют на </w:t>
      </w:r>
      <w:r w:rsidR="00834072" w:rsidRPr="00DF1530">
        <w:rPr>
          <w:lang w:val="ru-RU"/>
        </w:rPr>
        <w:t>экономик</w:t>
      </w:r>
      <w:r w:rsidR="008353AD" w:rsidRPr="00DF1530">
        <w:rPr>
          <w:lang w:val="ru-RU"/>
        </w:rPr>
        <w:t>у</w:t>
      </w:r>
      <w:r w:rsidR="008C7A93" w:rsidRPr="00DF1530">
        <w:rPr>
          <w:lang w:val="ru-RU"/>
        </w:rPr>
        <w:t xml:space="preserve">, </w:t>
      </w:r>
      <w:r w:rsidR="00F736B7" w:rsidRPr="00DF1530">
        <w:rPr>
          <w:lang w:val="ru-RU"/>
        </w:rPr>
        <w:t>в частности</w:t>
      </w:r>
      <w:r w:rsidR="008353AD" w:rsidRPr="00DF1530">
        <w:rPr>
          <w:lang w:val="ru-RU"/>
        </w:rPr>
        <w:t>,</w:t>
      </w:r>
      <w:r w:rsidR="008C7A93" w:rsidRPr="00DF1530">
        <w:rPr>
          <w:lang w:val="ru-RU"/>
        </w:rPr>
        <w:t xml:space="preserve"> </w:t>
      </w:r>
      <w:r w:rsidR="008353AD" w:rsidRPr="00DF1530">
        <w:rPr>
          <w:lang w:val="ru-RU"/>
        </w:rPr>
        <w:t>росте</w:t>
      </w:r>
      <w:r w:rsidR="008C7A93" w:rsidRPr="00DF1530">
        <w:rPr>
          <w:lang w:val="ru-RU"/>
        </w:rPr>
        <w:t xml:space="preserve">, </w:t>
      </w:r>
      <w:r w:rsidR="00D3769A" w:rsidRPr="00DF1530">
        <w:rPr>
          <w:lang w:val="ru-RU"/>
        </w:rPr>
        <w:t>инноваци</w:t>
      </w:r>
      <w:r w:rsidR="008353AD" w:rsidRPr="00DF1530">
        <w:rPr>
          <w:lang w:val="ru-RU"/>
        </w:rPr>
        <w:t>ях</w:t>
      </w:r>
      <w:r w:rsidR="008C7A93" w:rsidRPr="00DF1530">
        <w:rPr>
          <w:lang w:val="ru-RU"/>
        </w:rPr>
        <w:t xml:space="preserve"> </w:t>
      </w:r>
      <w:r w:rsidR="008353AD" w:rsidRPr="00DF1530">
        <w:rPr>
          <w:lang w:val="ru-RU"/>
        </w:rPr>
        <w:t>и экспортно</w:t>
      </w:r>
      <w:r w:rsidR="0080016A" w:rsidRPr="00DF1530">
        <w:rPr>
          <w:lang w:val="ru-RU"/>
        </w:rPr>
        <w:t>й</w:t>
      </w:r>
      <w:r w:rsidR="008353AD" w:rsidRPr="00DF1530">
        <w:rPr>
          <w:lang w:val="ru-RU"/>
        </w:rPr>
        <w:t xml:space="preserve"> </w:t>
      </w:r>
      <w:r w:rsidR="0080016A" w:rsidRPr="00DF1530">
        <w:rPr>
          <w:lang w:val="ru-RU"/>
        </w:rPr>
        <w:t>деятельности</w:t>
      </w:r>
      <w:r w:rsidR="008C7A93" w:rsidRPr="00DF1530">
        <w:rPr>
          <w:lang w:val="ru-RU"/>
        </w:rPr>
        <w:t xml:space="preserve">. </w:t>
      </w:r>
      <w:r w:rsidR="008353AD" w:rsidRPr="00DF1530">
        <w:rPr>
          <w:lang w:val="ru-RU"/>
        </w:rPr>
        <w:t xml:space="preserve">Кроме того, они не всегда являются в достаточной степени дополняющими, когда государственные </w:t>
      </w:r>
      <w:r w:rsidR="008D34F6" w:rsidRPr="00DF1530">
        <w:rPr>
          <w:lang w:val="ru-RU"/>
        </w:rPr>
        <w:t>субсидии</w:t>
      </w:r>
      <w:r w:rsidR="008C7A93" w:rsidRPr="00DF1530">
        <w:rPr>
          <w:lang w:val="ru-RU"/>
        </w:rPr>
        <w:t xml:space="preserve"> </w:t>
      </w:r>
      <w:r w:rsidR="008353AD" w:rsidRPr="00DF1530">
        <w:rPr>
          <w:lang w:val="ru-RU"/>
        </w:rPr>
        <w:t xml:space="preserve">предоставляются на </w:t>
      </w:r>
      <w:r w:rsidR="00297F6F" w:rsidRPr="00DF1530">
        <w:rPr>
          <w:lang w:val="ru-RU"/>
        </w:rPr>
        <w:t>деятельность</w:t>
      </w:r>
      <w:r w:rsidR="008353AD" w:rsidRPr="00DF1530">
        <w:rPr>
          <w:lang w:val="ru-RU"/>
        </w:rPr>
        <w:t>,</w:t>
      </w:r>
      <w:r w:rsidR="008C7A93" w:rsidRPr="00DF1530">
        <w:rPr>
          <w:lang w:val="ru-RU"/>
        </w:rPr>
        <w:t xml:space="preserve"> </w:t>
      </w:r>
      <w:r w:rsidR="008353AD" w:rsidRPr="00DF1530">
        <w:rPr>
          <w:lang w:val="ru-RU"/>
        </w:rPr>
        <w:t xml:space="preserve">которая </w:t>
      </w:r>
      <w:r w:rsidR="0080016A" w:rsidRPr="00DF1530">
        <w:rPr>
          <w:lang w:val="ru-RU"/>
        </w:rPr>
        <w:t>осуществлялась</w:t>
      </w:r>
      <w:r w:rsidR="008353AD" w:rsidRPr="00DF1530">
        <w:rPr>
          <w:lang w:val="ru-RU"/>
        </w:rPr>
        <w:t xml:space="preserve"> бы в любом случае</w:t>
      </w:r>
      <w:r w:rsidR="008C7A93" w:rsidRPr="00DF1530">
        <w:rPr>
          <w:lang w:val="ru-RU"/>
        </w:rPr>
        <w:t xml:space="preserve">. </w:t>
      </w:r>
    </w:p>
    <w:p w:rsidR="008C7A93" w:rsidRPr="00DF1530" w:rsidRDefault="00CB734F" w:rsidP="008C7A93">
      <w:pPr>
        <w:pStyle w:val="TableTitle"/>
        <w:rPr>
          <w:lang w:val="ru-RU"/>
        </w:rPr>
      </w:pPr>
      <w:r w:rsidRPr="00DF1530">
        <w:rPr>
          <w:lang w:val="ru-RU"/>
        </w:rPr>
        <w:lastRenderedPageBreak/>
        <w:t>Таблица</w:t>
      </w:r>
      <w:r w:rsidR="008C7A93" w:rsidRPr="00DF1530">
        <w:rPr>
          <w:lang w:val="ru-RU"/>
        </w:rPr>
        <w:t xml:space="preserve"> 1.3. </w:t>
      </w:r>
      <w:r w:rsidR="008C7A93" w:rsidRPr="00DF1530">
        <w:rPr>
          <w:lang w:val="ru-RU"/>
        </w:rPr>
        <w:tab/>
      </w:r>
      <w:r w:rsidR="00B431F3" w:rsidRPr="00DF1530">
        <w:rPr>
          <w:lang w:val="ru-RU"/>
        </w:rPr>
        <w:t xml:space="preserve">Выделение </w:t>
      </w:r>
      <w:r w:rsidR="00EB1372" w:rsidRPr="00DF1530">
        <w:rPr>
          <w:lang w:val="ru-RU"/>
        </w:rPr>
        <w:t>федеральны</w:t>
      </w:r>
      <w:r w:rsidR="00B431F3" w:rsidRPr="00DF1530">
        <w:rPr>
          <w:lang w:val="ru-RU"/>
        </w:rPr>
        <w:t>х средств</w:t>
      </w:r>
      <w:r w:rsidR="008C7A93" w:rsidRPr="00DF1530">
        <w:rPr>
          <w:lang w:val="ru-RU"/>
        </w:rPr>
        <w:t xml:space="preserve"> </w:t>
      </w:r>
      <w:r w:rsidR="00B431F3" w:rsidRPr="00DF1530">
        <w:rPr>
          <w:lang w:val="ru-RU"/>
        </w:rPr>
        <w:t xml:space="preserve">на программу поддержки МСП </w:t>
      </w:r>
      <w:r w:rsidR="00F736B7" w:rsidRPr="00DF1530">
        <w:rPr>
          <w:lang w:val="ru-RU"/>
        </w:rPr>
        <w:t>в 2011</w:t>
      </w:r>
      <w:r w:rsidR="008C7A93" w:rsidRPr="00DF1530">
        <w:rPr>
          <w:lang w:val="ru-RU"/>
        </w:rPr>
        <w:t>-12</w:t>
      </w:r>
      <w:r w:rsidR="00B431F3" w:rsidRPr="00DF1530">
        <w:rPr>
          <w:lang w:val="ru-RU"/>
        </w:rPr>
        <w:t xml:space="preserve"> гг.</w:t>
      </w:r>
      <w:r w:rsidR="009030BD" w:rsidRPr="00DF1530">
        <w:rPr>
          <w:lang w:val="ru-RU"/>
        </w:rPr>
        <w:fldChar w:fldCharType="begin"/>
      </w:r>
      <w:r w:rsidR="008C7A93" w:rsidRPr="00DF1530">
        <w:rPr>
          <w:lang w:val="ru-RU"/>
        </w:rPr>
        <w:instrText xml:space="preserve"> TC \f t \l 2 "</w:instrText>
      </w:r>
      <w:bookmarkStart w:id="72" w:name="_Toc411590264"/>
      <w:r w:rsidR="008C7A93" w:rsidRPr="00DF1530">
        <w:rPr>
          <w:lang w:val="ru-RU"/>
        </w:rPr>
        <w:instrText xml:space="preserve">Table 5.2. </w:instrText>
      </w:r>
      <w:r w:rsidR="008C7A93" w:rsidRPr="00DF1530">
        <w:rPr>
          <w:lang w:val="ru-RU"/>
        </w:rPr>
        <w:tab/>
        <w:instrText>Allocation of federal funds for the SME support programmes in 2011-12</w:instrText>
      </w:r>
      <w:bookmarkEnd w:id="72"/>
      <w:r w:rsidR="008C7A93" w:rsidRPr="00DF1530">
        <w:rPr>
          <w:lang w:val="ru-RU"/>
        </w:rPr>
        <w:instrText xml:space="preserve">"  </w:instrText>
      </w:r>
      <w:r w:rsidR="009030BD" w:rsidRPr="00DF1530">
        <w:rPr>
          <w:lang w:val="ru-RU"/>
        </w:rPr>
        <w:fldChar w:fldCharType="end"/>
      </w:r>
    </w:p>
    <w:tbl>
      <w:tblPr>
        <w:tblW w:w="0" w:type="auto"/>
        <w:tblLayout w:type="fixed"/>
        <w:tblLook w:val="0000"/>
      </w:tblPr>
      <w:tblGrid>
        <w:gridCol w:w="506"/>
        <w:gridCol w:w="3344"/>
        <w:gridCol w:w="1276"/>
        <w:gridCol w:w="1276"/>
        <w:gridCol w:w="1134"/>
        <w:gridCol w:w="1559"/>
      </w:tblGrid>
      <w:tr w:rsidR="008C7A93" w:rsidRPr="00DF1530" w:rsidTr="005E53F2">
        <w:trPr>
          <w:trHeight w:val="227"/>
        </w:trPr>
        <w:tc>
          <w:tcPr>
            <w:tcW w:w="506" w:type="dxa"/>
            <w:tcBorders>
              <w:top w:val="single" w:sz="4" w:space="0" w:color="auto"/>
              <w:left w:val="single" w:sz="4" w:space="0" w:color="auto"/>
              <w:bottom w:val="single" w:sz="4" w:space="0" w:color="auto"/>
            </w:tcBorders>
            <w:shd w:val="clear" w:color="auto" w:fill="8DB3E2" w:themeFill="text2" w:themeFillTint="66"/>
          </w:tcPr>
          <w:p w:rsidR="008C7A93" w:rsidRPr="00DF1530" w:rsidRDefault="008C7A93" w:rsidP="005E53F2">
            <w:pPr>
              <w:keepNext/>
              <w:keepLines/>
              <w:rPr>
                <w:rFonts w:ascii="Arial" w:hAnsi="Arial" w:cs="Arial"/>
                <w:b/>
                <w:bCs/>
                <w:sz w:val="18"/>
                <w:szCs w:val="18"/>
                <w:lang w:val="ru-RU"/>
              </w:rPr>
            </w:pPr>
          </w:p>
        </w:tc>
        <w:tc>
          <w:tcPr>
            <w:tcW w:w="3344" w:type="dxa"/>
            <w:tcBorders>
              <w:top w:val="single" w:sz="4" w:space="0" w:color="auto"/>
              <w:bottom w:val="single" w:sz="4" w:space="0" w:color="auto"/>
              <w:right w:val="single" w:sz="4" w:space="0" w:color="auto"/>
            </w:tcBorders>
            <w:shd w:val="clear" w:color="auto" w:fill="8DB3E2" w:themeFill="text2" w:themeFillTint="66"/>
          </w:tcPr>
          <w:p w:rsidR="008C7A93" w:rsidRPr="00DF1530" w:rsidRDefault="008C7A93" w:rsidP="005E53F2">
            <w:pPr>
              <w:keepNext/>
              <w:keepLines/>
              <w:jc w:val="center"/>
              <w:rPr>
                <w:rFonts w:ascii="Arial" w:hAnsi="Arial" w:cs="Arial"/>
                <w:b/>
                <w:bCs/>
                <w:sz w:val="18"/>
                <w:szCs w:val="18"/>
                <w:lang w:val="ru-RU"/>
              </w:rPr>
            </w:pPr>
          </w:p>
        </w:tc>
        <w:tc>
          <w:tcPr>
            <w:tcW w:w="2552" w:type="dxa"/>
            <w:gridSpan w:val="2"/>
            <w:tcBorders>
              <w:top w:val="single" w:sz="4" w:space="0" w:color="auto"/>
              <w:left w:val="single" w:sz="4" w:space="0" w:color="auto"/>
              <w:bottom w:val="single" w:sz="4" w:space="0" w:color="auto"/>
            </w:tcBorders>
            <w:shd w:val="clear" w:color="auto" w:fill="8DB3E2" w:themeFill="text2" w:themeFillTint="66"/>
            <w:vAlign w:val="center"/>
          </w:tcPr>
          <w:p w:rsidR="008C7A93" w:rsidRPr="00DF1530" w:rsidRDefault="008C7A93" w:rsidP="005E53F2">
            <w:pPr>
              <w:keepNext/>
              <w:keepLines/>
              <w:ind w:left="-108"/>
              <w:jc w:val="center"/>
              <w:rPr>
                <w:rFonts w:ascii="Arial" w:hAnsi="Arial" w:cs="Arial"/>
                <w:b/>
                <w:bCs/>
                <w:sz w:val="18"/>
                <w:szCs w:val="18"/>
                <w:lang w:val="ru-RU"/>
              </w:rPr>
            </w:pPr>
            <w:r w:rsidRPr="00DF1530">
              <w:rPr>
                <w:rFonts w:ascii="Arial" w:hAnsi="Arial" w:cs="Arial"/>
                <w:b/>
                <w:bCs/>
                <w:sz w:val="18"/>
                <w:szCs w:val="18"/>
                <w:lang w:val="ru-RU"/>
              </w:rPr>
              <w:t>2011</w:t>
            </w:r>
            <w:r w:rsidR="003975EE" w:rsidRPr="00DF1530">
              <w:rPr>
                <w:rFonts w:ascii="Arial" w:hAnsi="Arial" w:cs="Arial"/>
                <w:b/>
                <w:bCs/>
                <w:sz w:val="18"/>
                <w:szCs w:val="18"/>
                <w:lang w:val="ru-RU"/>
              </w:rPr>
              <w:t xml:space="preserve"> г.</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C7A93" w:rsidRPr="00DF1530" w:rsidRDefault="008C7A93" w:rsidP="005E53F2">
            <w:pPr>
              <w:keepNext/>
              <w:keepLines/>
              <w:ind w:left="-108"/>
              <w:jc w:val="center"/>
              <w:rPr>
                <w:rFonts w:ascii="Arial" w:hAnsi="Arial" w:cs="Arial"/>
                <w:b/>
                <w:bCs/>
                <w:sz w:val="18"/>
                <w:szCs w:val="18"/>
                <w:lang w:val="ru-RU"/>
              </w:rPr>
            </w:pPr>
            <w:r w:rsidRPr="00DF1530">
              <w:rPr>
                <w:rFonts w:ascii="Arial" w:hAnsi="Arial" w:cs="Arial"/>
                <w:b/>
                <w:bCs/>
                <w:sz w:val="18"/>
                <w:szCs w:val="18"/>
                <w:lang w:val="ru-RU"/>
              </w:rPr>
              <w:t>2012</w:t>
            </w:r>
            <w:r w:rsidR="003975EE" w:rsidRPr="00DF1530">
              <w:rPr>
                <w:rFonts w:ascii="Arial" w:hAnsi="Arial" w:cs="Arial"/>
                <w:b/>
                <w:bCs/>
                <w:sz w:val="18"/>
                <w:szCs w:val="18"/>
                <w:lang w:val="ru-RU"/>
              </w:rPr>
              <w:t xml:space="preserve"> г.</w:t>
            </w:r>
          </w:p>
        </w:tc>
      </w:tr>
      <w:tr w:rsidR="008C7A93" w:rsidRPr="00225354" w:rsidTr="005E53F2">
        <w:trPr>
          <w:trHeight w:val="227"/>
        </w:trPr>
        <w:tc>
          <w:tcPr>
            <w:tcW w:w="506" w:type="dxa"/>
            <w:tcBorders>
              <w:top w:val="single" w:sz="4" w:space="0" w:color="auto"/>
              <w:left w:val="single" w:sz="4" w:space="0" w:color="auto"/>
              <w:bottom w:val="single" w:sz="4" w:space="0" w:color="auto"/>
            </w:tcBorders>
            <w:shd w:val="clear" w:color="auto" w:fill="8DB3E2" w:themeFill="text2" w:themeFillTint="66"/>
          </w:tcPr>
          <w:p w:rsidR="008C7A93" w:rsidRPr="00225354" w:rsidRDefault="00D55D84" w:rsidP="005E53F2">
            <w:pPr>
              <w:keepNext/>
              <w:keepLines/>
              <w:rPr>
                <w:rFonts w:ascii="Arial" w:hAnsi="Arial" w:cs="Arial"/>
                <w:b/>
                <w:bCs/>
                <w:sz w:val="14"/>
                <w:szCs w:val="18"/>
                <w:lang w:val="ru-RU"/>
              </w:rPr>
            </w:pPr>
            <w:r w:rsidRPr="00225354">
              <w:rPr>
                <w:rFonts w:ascii="Arial" w:hAnsi="Arial" w:cs="Arial"/>
                <w:b/>
                <w:bCs/>
                <w:sz w:val="14"/>
                <w:szCs w:val="18"/>
                <w:lang w:val="ru-RU"/>
              </w:rPr>
              <w:t>№</w:t>
            </w:r>
          </w:p>
        </w:tc>
        <w:tc>
          <w:tcPr>
            <w:tcW w:w="3344" w:type="dxa"/>
            <w:tcBorders>
              <w:top w:val="single" w:sz="4" w:space="0" w:color="auto"/>
              <w:bottom w:val="single" w:sz="4" w:space="0" w:color="auto"/>
              <w:right w:val="single" w:sz="4" w:space="0" w:color="auto"/>
            </w:tcBorders>
            <w:shd w:val="clear" w:color="auto" w:fill="8DB3E2" w:themeFill="text2" w:themeFillTint="66"/>
          </w:tcPr>
          <w:p w:rsidR="008C7A93" w:rsidRPr="00225354" w:rsidRDefault="00D55D84" w:rsidP="003975EE">
            <w:pPr>
              <w:keepNext/>
              <w:keepLines/>
              <w:jc w:val="center"/>
              <w:rPr>
                <w:rFonts w:ascii="Arial" w:hAnsi="Arial" w:cs="Arial"/>
                <w:b/>
                <w:bCs/>
                <w:sz w:val="14"/>
                <w:szCs w:val="18"/>
                <w:lang w:val="ru-RU"/>
              </w:rPr>
            </w:pPr>
            <w:r w:rsidRPr="00225354">
              <w:rPr>
                <w:rFonts w:ascii="Arial" w:hAnsi="Arial" w:cs="Arial"/>
                <w:b/>
                <w:bCs/>
                <w:sz w:val="14"/>
                <w:szCs w:val="18"/>
                <w:lang w:val="ru-RU"/>
              </w:rPr>
              <w:t>Мера</w:t>
            </w:r>
          </w:p>
        </w:tc>
        <w:tc>
          <w:tcPr>
            <w:tcW w:w="1276" w:type="dxa"/>
            <w:tcBorders>
              <w:top w:val="single" w:sz="4" w:space="0" w:color="auto"/>
              <w:left w:val="single" w:sz="4" w:space="0" w:color="auto"/>
              <w:bottom w:val="single" w:sz="4" w:space="0" w:color="auto"/>
            </w:tcBorders>
            <w:shd w:val="clear" w:color="auto" w:fill="8DB3E2" w:themeFill="text2" w:themeFillTint="66"/>
          </w:tcPr>
          <w:p w:rsidR="008C7A93" w:rsidRPr="00225354" w:rsidRDefault="003975EE" w:rsidP="00383488">
            <w:pPr>
              <w:keepNext/>
              <w:keepLines/>
              <w:ind w:left="-108" w:right="90"/>
              <w:jc w:val="right"/>
              <w:rPr>
                <w:rFonts w:ascii="Arial" w:hAnsi="Arial" w:cs="Arial"/>
                <w:b/>
                <w:bCs/>
                <w:sz w:val="14"/>
                <w:szCs w:val="18"/>
                <w:lang w:val="ru-RU"/>
              </w:rPr>
            </w:pPr>
            <w:r w:rsidRPr="00225354">
              <w:rPr>
                <w:rFonts w:ascii="Arial" w:hAnsi="Arial" w:cs="Arial"/>
                <w:b/>
                <w:bCs/>
                <w:sz w:val="14"/>
                <w:szCs w:val="18"/>
                <w:lang w:val="ru-RU"/>
              </w:rPr>
              <w:t>Выделен</w:t>
            </w:r>
            <w:proofErr w:type="gramStart"/>
            <w:r w:rsidR="00383488" w:rsidRPr="00225354">
              <w:rPr>
                <w:rFonts w:ascii="Arial" w:hAnsi="Arial" w:cs="Arial"/>
                <w:b/>
                <w:bCs/>
                <w:sz w:val="14"/>
                <w:szCs w:val="18"/>
                <w:lang w:val="ru-RU"/>
              </w:rPr>
              <w:t>.</w:t>
            </w:r>
            <w:proofErr w:type="gramEnd"/>
            <w:r w:rsidRPr="00225354">
              <w:rPr>
                <w:rFonts w:ascii="Arial" w:hAnsi="Arial" w:cs="Arial"/>
                <w:b/>
                <w:bCs/>
                <w:sz w:val="14"/>
                <w:szCs w:val="18"/>
                <w:lang w:val="ru-RU"/>
              </w:rPr>
              <w:t xml:space="preserve"> </w:t>
            </w:r>
            <w:proofErr w:type="gramStart"/>
            <w:r w:rsidRPr="00225354">
              <w:rPr>
                <w:rFonts w:ascii="Arial" w:hAnsi="Arial" w:cs="Arial"/>
                <w:b/>
                <w:bCs/>
                <w:sz w:val="14"/>
                <w:szCs w:val="18"/>
                <w:lang w:val="ru-RU"/>
              </w:rPr>
              <w:t>с</w:t>
            </w:r>
            <w:proofErr w:type="gramEnd"/>
            <w:r w:rsidRPr="00225354">
              <w:rPr>
                <w:rFonts w:ascii="Arial" w:hAnsi="Arial" w:cs="Arial"/>
                <w:b/>
                <w:bCs/>
                <w:sz w:val="14"/>
                <w:szCs w:val="18"/>
                <w:lang w:val="ru-RU"/>
              </w:rPr>
              <w:t xml:space="preserve">редства, в </w:t>
            </w:r>
            <w:r w:rsidR="009E3AC4" w:rsidRPr="00225354">
              <w:rPr>
                <w:rFonts w:ascii="Arial" w:hAnsi="Arial" w:cs="Arial"/>
                <w:b/>
                <w:bCs/>
                <w:sz w:val="14"/>
                <w:szCs w:val="18"/>
                <w:lang w:val="ru-RU"/>
              </w:rPr>
              <w:t>миллиард</w:t>
            </w:r>
            <w:r w:rsidRPr="00225354">
              <w:rPr>
                <w:rFonts w:ascii="Arial" w:hAnsi="Arial" w:cs="Arial"/>
                <w:b/>
                <w:bCs/>
                <w:sz w:val="14"/>
                <w:szCs w:val="18"/>
                <w:lang w:val="ru-RU"/>
              </w:rPr>
              <w:t>ах рублей</w:t>
            </w:r>
            <w:r w:rsidR="008C7A93" w:rsidRPr="00225354">
              <w:rPr>
                <w:rFonts w:ascii="Arial" w:hAnsi="Arial" w:cs="Arial"/>
                <w:b/>
                <w:bCs/>
                <w:sz w:val="14"/>
                <w:szCs w:val="18"/>
                <w:lang w:val="ru-RU"/>
              </w:rPr>
              <w:t xml:space="preserve"> </w:t>
            </w:r>
          </w:p>
        </w:tc>
        <w:tc>
          <w:tcPr>
            <w:tcW w:w="1276" w:type="dxa"/>
            <w:tcBorders>
              <w:top w:val="single" w:sz="4" w:space="0" w:color="auto"/>
              <w:bottom w:val="single" w:sz="4" w:space="0" w:color="auto"/>
            </w:tcBorders>
            <w:shd w:val="clear" w:color="auto" w:fill="8DB3E2" w:themeFill="text2" w:themeFillTint="66"/>
          </w:tcPr>
          <w:p w:rsidR="008C7A93" w:rsidRPr="00225354" w:rsidRDefault="00D450DE" w:rsidP="00D450DE">
            <w:pPr>
              <w:keepNext/>
              <w:keepLines/>
              <w:ind w:left="-108"/>
              <w:jc w:val="right"/>
              <w:rPr>
                <w:rFonts w:ascii="Arial" w:hAnsi="Arial" w:cs="Arial"/>
                <w:b/>
                <w:bCs/>
                <w:sz w:val="14"/>
                <w:szCs w:val="18"/>
                <w:lang w:val="ru-RU"/>
              </w:rPr>
            </w:pPr>
            <w:r w:rsidRPr="00225354">
              <w:rPr>
                <w:rFonts w:ascii="Arial" w:hAnsi="Arial" w:cs="Arial"/>
                <w:b/>
                <w:bCs/>
                <w:sz w:val="14"/>
                <w:szCs w:val="18"/>
                <w:lang w:val="ru-RU"/>
              </w:rPr>
              <w:t xml:space="preserve">Доля </w:t>
            </w:r>
            <w:r w:rsidR="003975EE" w:rsidRPr="00225354">
              <w:rPr>
                <w:rFonts w:ascii="Arial" w:hAnsi="Arial" w:cs="Arial"/>
                <w:b/>
                <w:bCs/>
                <w:sz w:val="14"/>
                <w:szCs w:val="18"/>
                <w:lang w:val="ru-RU"/>
              </w:rPr>
              <w:t xml:space="preserve">финансирования </w:t>
            </w:r>
            <w:r w:rsidR="008C7A93" w:rsidRPr="00225354">
              <w:rPr>
                <w:rFonts w:ascii="Arial" w:hAnsi="Arial" w:cs="Arial"/>
                <w:b/>
                <w:bCs/>
                <w:sz w:val="14"/>
                <w:szCs w:val="18"/>
                <w:lang w:val="ru-RU"/>
              </w:rPr>
              <w:t>(</w:t>
            </w:r>
            <w:r w:rsidR="003975EE" w:rsidRPr="00225354">
              <w:rPr>
                <w:rFonts w:ascii="Arial" w:hAnsi="Arial" w:cs="Arial"/>
                <w:b/>
                <w:bCs/>
                <w:sz w:val="14"/>
                <w:szCs w:val="18"/>
                <w:lang w:val="ru-RU"/>
              </w:rPr>
              <w:t>в процентах</w:t>
            </w:r>
            <w:r w:rsidR="008C7A93" w:rsidRPr="00225354">
              <w:rPr>
                <w:rFonts w:ascii="Arial" w:hAnsi="Arial" w:cs="Arial"/>
                <w:b/>
                <w:bCs/>
                <w:sz w:val="14"/>
                <w:szCs w:val="18"/>
                <w:lang w:val="ru-RU"/>
              </w:rPr>
              <w:t>)</w:t>
            </w:r>
          </w:p>
        </w:tc>
        <w:tc>
          <w:tcPr>
            <w:tcW w:w="1134" w:type="dxa"/>
            <w:tcBorders>
              <w:top w:val="single" w:sz="4" w:space="0" w:color="auto"/>
              <w:left w:val="single" w:sz="4" w:space="0" w:color="auto"/>
              <w:bottom w:val="single" w:sz="4" w:space="0" w:color="auto"/>
            </w:tcBorders>
            <w:shd w:val="clear" w:color="auto" w:fill="8DB3E2" w:themeFill="text2" w:themeFillTint="66"/>
          </w:tcPr>
          <w:p w:rsidR="008C7A93" w:rsidRPr="00225354" w:rsidRDefault="003975EE" w:rsidP="0036661D">
            <w:pPr>
              <w:keepNext/>
              <w:keepLines/>
              <w:jc w:val="right"/>
              <w:rPr>
                <w:rFonts w:ascii="Arial" w:hAnsi="Arial" w:cs="Arial"/>
                <w:b/>
                <w:bCs/>
                <w:sz w:val="14"/>
                <w:szCs w:val="18"/>
                <w:lang w:val="ru-RU"/>
              </w:rPr>
            </w:pPr>
            <w:r w:rsidRPr="00225354">
              <w:rPr>
                <w:rFonts w:ascii="Arial" w:hAnsi="Arial" w:cs="Arial"/>
                <w:b/>
                <w:bCs/>
                <w:sz w:val="14"/>
                <w:szCs w:val="18"/>
                <w:lang w:val="ru-RU"/>
              </w:rPr>
              <w:t>Выделен</w:t>
            </w:r>
            <w:proofErr w:type="gramStart"/>
            <w:r w:rsidR="0036661D" w:rsidRPr="00225354">
              <w:rPr>
                <w:rFonts w:ascii="Arial" w:hAnsi="Arial" w:cs="Arial"/>
                <w:b/>
                <w:bCs/>
                <w:sz w:val="14"/>
                <w:szCs w:val="18"/>
                <w:lang w:val="ru-RU"/>
              </w:rPr>
              <w:t>.</w:t>
            </w:r>
            <w:proofErr w:type="gramEnd"/>
            <w:r w:rsidRPr="00225354">
              <w:rPr>
                <w:rFonts w:ascii="Arial" w:hAnsi="Arial" w:cs="Arial"/>
                <w:b/>
                <w:bCs/>
                <w:sz w:val="14"/>
                <w:szCs w:val="18"/>
                <w:lang w:val="ru-RU"/>
              </w:rPr>
              <w:t xml:space="preserve"> </w:t>
            </w:r>
            <w:proofErr w:type="gramStart"/>
            <w:r w:rsidRPr="00225354">
              <w:rPr>
                <w:rFonts w:ascii="Arial" w:hAnsi="Arial" w:cs="Arial"/>
                <w:b/>
                <w:bCs/>
                <w:sz w:val="14"/>
                <w:szCs w:val="18"/>
                <w:lang w:val="ru-RU"/>
              </w:rPr>
              <w:t>с</w:t>
            </w:r>
            <w:proofErr w:type="gramEnd"/>
            <w:r w:rsidRPr="00225354">
              <w:rPr>
                <w:rFonts w:ascii="Arial" w:hAnsi="Arial" w:cs="Arial"/>
                <w:b/>
                <w:bCs/>
                <w:sz w:val="14"/>
                <w:szCs w:val="18"/>
                <w:lang w:val="ru-RU"/>
              </w:rPr>
              <w:t>редства, в миллиардах рублей</w:t>
            </w:r>
          </w:p>
        </w:tc>
        <w:tc>
          <w:tcPr>
            <w:tcW w:w="1559" w:type="dxa"/>
            <w:tcBorders>
              <w:top w:val="single" w:sz="4" w:space="0" w:color="auto"/>
              <w:bottom w:val="single" w:sz="4" w:space="0" w:color="auto"/>
              <w:right w:val="single" w:sz="4" w:space="0" w:color="auto"/>
            </w:tcBorders>
            <w:shd w:val="clear" w:color="auto" w:fill="8DB3E2" w:themeFill="text2" w:themeFillTint="66"/>
          </w:tcPr>
          <w:p w:rsidR="008C7A93" w:rsidRPr="00225354" w:rsidRDefault="00D450DE" w:rsidP="0036661D">
            <w:pPr>
              <w:keepNext/>
              <w:keepLines/>
              <w:ind w:left="-23"/>
              <w:jc w:val="right"/>
              <w:rPr>
                <w:rFonts w:ascii="Arial" w:hAnsi="Arial" w:cs="Arial"/>
                <w:b/>
                <w:bCs/>
                <w:sz w:val="14"/>
                <w:szCs w:val="18"/>
                <w:lang w:val="ru-RU"/>
              </w:rPr>
            </w:pPr>
            <w:r w:rsidRPr="00225354">
              <w:rPr>
                <w:rFonts w:ascii="Arial" w:hAnsi="Arial" w:cs="Arial"/>
                <w:b/>
                <w:bCs/>
                <w:sz w:val="14"/>
                <w:szCs w:val="18"/>
                <w:lang w:val="ru-RU"/>
              </w:rPr>
              <w:t>Доля</w:t>
            </w:r>
            <w:r w:rsidR="003975EE" w:rsidRPr="00225354">
              <w:rPr>
                <w:rFonts w:ascii="Arial" w:hAnsi="Arial" w:cs="Arial"/>
                <w:b/>
                <w:bCs/>
                <w:sz w:val="14"/>
                <w:szCs w:val="18"/>
                <w:lang w:val="ru-RU"/>
              </w:rPr>
              <w:t xml:space="preserve"> финансирования (в процентах)</w:t>
            </w:r>
          </w:p>
        </w:tc>
      </w:tr>
      <w:tr w:rsidR="008C7A93" w:rsidRPr="00DF1530" w:rsidTr="005E53F2">
        <w:trPr>
          <w:trHeight w:val="227"/>
        </w:trPr>
        <w:tc>
          <w:tcPr>
            <w:tcW w:w="506" w:type="dxa"/>
            <w:tcBorders>
              <w:top w:val="single" w:sz="4" w:space="0" w:color="auto"/>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A.</w:t>
            </w:r>
          </w:p>
        </w:tc>
        <w:tc>
          <w:tcPr>
            <w:tcW w:w="3344" w:type="dxa"/>
            <w:tcBorders>
              <w:top w:val="single" w:sz="4" w:space="0" w:color="auto"/>
              <w:right w:val="single" w:sz="4" w:space="0" w:color="auto"/>
            </w:tcBorders>
            <w:shd w:val="clear" w:color="auto" w:fill="auto"/>
            <w:vAlign w:val="center"/>
          </w:tcPr>
          <w:p w:rsidR="008C7A93" w:rsidRPr="00DF1530" w:rsidRDefault="003975EE" w:rsidP="00D450DE">
            <w:pPr>
              <w:keepNext/>
              <w:keepLines/>
              <w:jc w:val="left"/>
              <w:rPr>
                <w:rFonts w:ascii="Arial" w:hAnsi="Arial" w:cs="Arial"/>
                <w:b/>
                <w:bCs/>
                <w:i/>
                <w:sz w:val="18"/>
                <w:szCs w:val="18"/>
                <w:lang w:val="ru-RU"/>
              </w:rPr>
            </w:pPr>
            <w:r w:rsidRPr="00DF1530">
              <w:rPr>
                <w:rFonts w:ascii="Arial" w:hAnsi="Arial" w:cs="Arial"/>
                <w:b/>
                <w:bCs/>
                <w:i/>
                <w:sz w:val="18"/>
                <w:szCs w:val="18"/>
                <w:lang w:val="ru-RU"/>
              </w:rPr>
              <w:t>Субвенции</w:t>
            </w:r>
            <w:r w:rsidR="008C7A93" w:rsidRPr="00DF1530">
              <w:rPr>
                <w:rFonts w:ascii="Arial" w:hAnsi="Arial" w:cs="Arial"/>
                <w:b/>
                <w:bCs/>
                <w:i/>
                <w:sz w:val="18"/>
                <w:szCs w:val="18"/>
                <w:lang w:val="ru-RU"/>
              </w:rPr>
              <w:t xml:space="preserve"> </w:t>
            </w:r>
            <w:r w:rsidRPr="00DF1530">
              <w:rPr>
                <w:rFonts w:ascii="Arial" w:hAnsi="Arial" w:cs="Arial"/>
                <w:b/>
                <w:bCs/>
                <w:i/>
                <w:sz w:val="18"/>
                <w:szCs w:val="18"/>
                <w:lang w:val="ru-RU"/>
              </w:rPr>
              <w:t>регионам для государственной поддержки малых и средних предприятий</w:t>
            </w:r>
          </w:p>
        </w:tc>
        <w:tc>
          <w:tcPr>
            <w:tcW w:w="1276" w:type="dxa"/>
            <w:tcBorders>
              <w:top w:val="single" w:sz="4" w:space="0" w:color="auto"/>
              <w:left w:val="single" w:sz="4" w:space="0" w:color="auto"/>
            </w:tcBorders>
            <w:vAlign w:val="center"/>
          </w:tcPr>
          <w:p w:rsidR="008C7A93" w:rsidRPr="00DF1530" w:rsidRDefault="008C7A93" w:rsidP="005E53F2">
            <w:pPr>
              <w:keepNext/>
              <w:keepLines/>
              <w:jc w:val="right"/>
              <w:rPr>
                <w:rFonts w:ascii="Arial" w:hAnsi="Arial" w:cs="Arial"/>
                <w:b/>
                <w:bCs/>
                <w:i/>
                <w:sz w:val="18"/>
                <w:szCs w:val="18"/>
                <w:lang w:val="ru-RU"/>
              </w:rPr>
            </w:pPr>
            <w:r w:rsidRPr="00DF1530">
              <w:rPr>
                <w:rFonts w:ascii="Arial" w:hAnsi="Arial" w:cs="Arial"/>
                <w:b/>
                <w:bCs/>
                <w:i/>
                <w:sz w:val="18"/>
                <w:szCs w:val="18"/>
                <w:lang w:val="ru-RU"/>
              </w:rPr>
              <w:t>16</w:t>
            </w:r>
            <w:r w:rsidR="003975EE" w:rsidRPr="00DF1530">
              <w:rPr>
                <w:rFonts w:ascii="Arial" w:hAnsi="Arial" w:cs="Arial"/>
                <w:b/>
                <w:bCs/>
                <w:i/>
                <w:sz w:val="18"/>
                <w:szCs w:val="18"/>
                <w:lang w:val="ru-RU"/>
              </w:rPr>
              <w:t>,</w:t>
            </w:r>
            <w:r w:rsidRPr="00DF1530">
              <w:rPr>
                <w:rFonts w:ascii="Arial" w:hAnsi="Arial" w:cs="Arial"/>
                <w:b/>
                <w:bCs/>
                <w:i/>
                <w:sz w:val="18"/>
                <w:szCs w:val="18"/>
                <w:lang w:val="ru-RU"/>
              </w:rPr>
              <w:t>0</w:t>
            </w:r>
          </w:p>
        </w:tc>
        <w:tc>
          <w:tcPr>
            <w:tcW w:w="1276" w:type="dxa"/>
            <w:tcBorders>
              <w:top w:val="single" w:sz="4" w:space="0" w:color="auto"/>
            </w:tcBorders>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89</w:t>
            </w:r>
            <w:r w:rsidR="003975EE" w:rsidRPr="00DF1530">
              <w:rPr>
                <w:rFonts w:ascii="Arial" w:hAnsi="Arial" w:cs="Arial"/>
                <w:b/>
                <w:bCs/>
                <w:i/>
                <w:color w:val="000000"/>
                <w:sz w:val="18"/>
                <w:szCs w:val="18"/>
                <w:lang w:val="ru-RU"/>
              </w:rPr>
              <w:t>,</w:t>
            </w:r>
            <w:r w:rsidRPr="00DF1530">
              <w:rPr>
                <w:rFonts w:ascii="Arial" w:hAnsi="Arial" w:cs="Arial"/>
                <w:b/>
                <w:bCs/>
                <w:i/>
                <w:color w:val="000000"/>
                <w:sz w:val="18"/>
                <w:szCs w:val="18"/>
                <w:lang w:val="ru-RU"/>
              </w:rPr>
              <w:t>7</w:t>
            </w:r>
          </w:p>
        </w:tc>
        <w:tc>
          <w:tcPr>
            <w:tcW w:w="1134" w:type="dxa"/>
            <w:tcBorders>
              <w:top w:val="single" w:sz="4" w:space="0" w:color="auto"/>
              <w:left w:val="single" w:sz="4" w:space="0" w:color="auto"/>
            </w:tcBorders>
            <w:shd w:val="clear" w:color="auto" w:fill="auto"/>
            <w:vAlign w:val="center"/>
          </w:tcPr>
          <w:p w:rsidR="008C7A93" w:rsidRPr="00DF1530" w:rsidRDefault="008C7A93" w:rsidP="005E53F2">
            <w:pPr>
              <w:keepNext/>
              <w:keepLines/>
              <w:jc w:val="right"/>
              <w:rPr>
                <w:rFonts w:ascii="Arial" w:hAnsi="Arial" w:cs="Arial"/>
                <w:b/>
                <w:bCs/>
                <w:i/>
                <w:sz w:val="18"/>
                <w:szCs w:val="18"/>
                <w:lang w:val="ru-RU"/>
              </w:rPr>
            </w:pPr>
            <w:r w:rsidRPr="00DF1530">
              <w:rPr>
                <w:rFonts w:ascii="Arial" w:hAnsi="Arial" w:cs="Arial"/>
                <w:b/>
                <w:bCs/>
                <w:i/>
                <w:sz w:val="18"/>
                <w:szCs w:val="18"/>
                <w:lang w:val="ru-RU"/>
              </w:rPr>
              <w:t>18</w:t>
            </w:r>
            <w:r w:rsidR="003975EE" w:rsidRPr="00DF1530">
              <w:rPr>
                <w:rFonts w:ascii="Arial" w:hAnsi="Arial" w:cs="Arial"/>
                <w:b/>
                <w:bCs/>
                <w:i/>
                <w:sz w:val="18"/>
                <w:szCs w:val="18"/>
                <w:lang w:val="ru-RU"/>
              </w:rPr>
              <w:t>,</w:t>
            </w:r>
            <w:r w:rsidRPr="00DF1530">
              <w:rPr>
                <w:rFonts w:ascii="Arial" w:hAnsi="Arial" w:cs="Arial"/>
                <w:b/>
                <w:bCs/>
                <w:i/>
                <w:sz w:val="18"/>
                <w:szCs w:val="18"/>
                <w:lang w:val="ru-RU"/>
              </w:rPr>
              <w:t>57</w:t>
            </w:r>
          </w:p>
        </w:tc>
        <w:tc>
          <w:tcPr>
            <w:tcW w:w="1559" w:type="dxa"/>
            <w:tcBorders>
              <w:top w:val="single" w:sz="4" w:space="0" w:color="auto"/>
              <w:right w:val="single" w:sz="4" w:space="0" w:color="auto"/>
            </w:tcBorders>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92</w:t>
            </w:r>
            <w:r w:rsidR="003975EE" w:rsidRPr="00DF1530">
              <w:rPr>
                <w:rFonts w:ascii="Arial" w:hAnsi="Arial" w:cs="Arial"/>
                <w:b/>
                <w:bCs/>
                <w:i/>
                <w:color w:val="000000"/>
                <w:sz w:val="18"/>
                <w:szCs w:val="18"/>
                <w:lang w:val="ru-RU"/>
              </w:rPr>
              <w:t>,</w:t>
            </w:r>
            <w:r w:rsidRPr="00DF1530">
              <w:rPr>
                <w:rFonts w:ascii="Arial" w:hAnsi="Arial" w:cs="Arial"/>
                <w:b/>
                <w:bCs/>
                <w:i/>
                <w:color w:val="000000"/>
                <w:sz w:val="18"/>
                <w:szCs w:val="18"/>
                <w:lang w:val="ru-RU"/>
              </w:rPr>
              <w:t>3</w:t>
            </w:r>
          </w:p>
        </w:tc>
      </w:tr>
      <w:tr w:rsidR="008C7A93" w:rsidRPr="00DF1530" w:rsidTr="005E53F2">
        <w:trPr>
          <w:trHeight w:val="227"/>
        </w:trPr>
        <w:tc>
          <w:tcPr>
            <w:tcW w:w="506" w:type="dxa"/>
            <w:tcBorders>
              <w:left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1.</w:t>
            </w:r>
          </w:p>
        </w:tc>
        <w:tc>
          <w:tcPr>
            <w:tcW w:w="3344" w:type="dxa"/>
            <w:tcBorders>
              <w:right w:val="single" w:sz="4" w:space="0" w:color="auto"/>
            </w:tcBorders>
            <w:shd w:val="clear" w:color="auto" w:fill="DBE5F1" w:themeFill="accent1" w:themeFillTint="33"/>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Развитие </w:t>
            </w:r>
            <w:r w:rsidR="00834072" w:rsidRPr="00DF1530">
              <w:rPr>
                <w:rFonts w:ascii="Arial" w:hAnsi="Arial" w:cs="Arial"/>
                <w:sz w:val="18"/>
                <w:szCs w:val="18"/>
                <w:lang w:val="ru-RU"/>
              </w:rPr>
              <w:t>предпринимательск</w:t>
            </w:r>
            <w:r w:rsidRPr="00DF1530">
              <w:rPr>
                <w:rFonts w:ascii="Arial" w:hAnsi="Arial" w:cs="Arial"/>
                <w:sz w:val="18"/>
                <w:szCs w:val="18"/>
                <w:lang w:val="ru-RU"/>
              </w:rPr>
              <w:t>ой</w:t>
            </w:r>
            <w:r w:rsidR="00834072" w:rsidRPr="00DF1530">
              <w:rPr>
                <w:rFonts w:ascii="Arial" w:hAnsi="Arial" w:cs="Arial"/>
                <w:sz w:val="18"/>
                <w:szCs w:val="18"/>
                <w:lang w:val="ru-RU"/>
              </w:rPr>
              <w:t xml:space="preserve"> деятельност</w:t>
            </w:r>
            <w:r w:rsidRPr="00DF1530">
              <w:rPr>
                <w:rFonts w:ascii="Arial" w:hAnsi="Arial" w:cs="Arial"/>
                <w:sz w:val="18"/>
                <w:szCs w:val="18"/>
                <w:lang w:val="ru-RU"/>
              </w:rPr>
              <w:t>и</w:t>
            </w:r>
            <w:r w:rsidR="008C7A93" w:rsidRPr="00DF1530">
              <w:rPr>
                <w:rFonts w:ascii="Arial" w:hAnsi="Arial" w:cs="Arial"/>
                <w:sz w:val="18"/>
                <w:szCs w:val="18"/>
                <w:lang w:val="ru-RU"/>
              </w:rPr>
              <w:t xml:space="preserve"> </w:t>
            </w:r>
            <w:r w:rsidRPr="00DF1530">
              <w:rPr>
                <w:rFonts w:ascii="Arial" w:hAnsi="Arial" w:cs="Arial"/>
                <w:sz w:val="18"/>
                <w:szCs w:val="18"/>
                <w:lang w:val="ru-RU"/>
              </w:rPr>
              <w:t xml:space="preserve">и </w:t>
            </w:r>
            <w:r w:rsidR="008D34F6" w:rsidRPr="00DF1530">
              <w:rPr>
                <w:rFonts w:ascii="Arial" w:hAnsi="Arial" w:cs="Arial"/>
                <w:sz w:val="18"/>
                <w:szCs w:val="18"/>
                <w:lang w:val="ru-RU"/>
              </w:rPr>
              <w:t>субсидии</w:t>
            </w:r>
            <w:r w:rsidR="008C7A93" w:rsidRPr="00DF1530">
              <w:rPr>
                <w:rFonts w:ascii="Arial" w:hAnsi="Arial" w:cs="Arial"/>
                <w:sz w:val="18"/>
                <w:szCs w:val="18"/>
                <w:lang w:val="ru-RU"/>
              </w:rPr>
              <w:t xml:space="preserve"> </w:t>
            </w:r>
            <w:r w:rsidRPr="00DF1530">
              <w:rPr>
                <w:rFonts w:ascii="Arial" w:hAnsi="Arial" w:cs="Arial"/>
                <w:sz w:val="18"/>
                <w:szCs w:val="18"/>
                <w:lang w:val="ru-RU"/>
              </w:rPr>
              <w:t>для создания новых предприятий</w:t>
            </w:r>
          </w:p>
        </w:tc>
        <w:tc>
          <w:tcPr>
            <w:tcW w:w="1276"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2</w:t>
            </w:r>
            <w:r w:rsidR="003975EE" w:rsidRPr="00DF1530">
              <w:rPr>
                <w:rFonts w:ascii="Arial" w:hAnsi="Arial" w:cs="Arial"/>
                <w:sz w:val="18"/>
                <w:szCs w:val="18"/>
                <w:lang w:val="ru-RU"/>
              </w:rPr>
              <w:t>,</w:t>
            </w:r>
            <w:r w:rsidRPr="00DF1530">
              <w:rPr>
                <w:rFonts w:ascii="Arial" w:hAnsi="Arial" w:cs="Arial"/>
                <w:sz w:val="18"/>
                <w:szCs w:val="18"/>
                <w:lang w:val="ru-RU"/>
              </w:rPr>
              <w:t>04</w:t>
            </w:r>
          </w:p>
        </w:tc>
        <w:tc>
          <w:tcPr>
            <w:tcW w:w="1276" w:type="dxa"/>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11</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4</w:t>
            </w:r>
          </w:p>
        </w:tc>
        <w:tc>
          <w:tcPr>
            <w:tcW w:w="1134"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86</w:t>
            </w:r>
          </w:p>
        </w:tc>
        <w:tc>
          <w:tcPr>
            <w:tcW w:w="1559" w:type="dxa"/>
            <w:tcBorders>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9</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2</w:t>
            </w:r>
          </w:p>
        </w:tc>
      </w:tr>
      <w:tr w:rsidR="008C7A93" w:rsidRPr="00DF1530" w:rsidTr="005E53F2">
        <w:trPr>
          <w:trHeight w:val="227"/>
        </w:trPr>
        <w:tc>
          <w:tcPr>
            <w:tcW w:w="506" w:type="dxa"/>
            <w:tcBorders>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2.</w:t>
            </w:r>
          </w:p>
        </w:tc>
        <w:tc>
          <w:tcPr>
            <w:tcW w:w="3344" w:type="dxa"/>
            <w:tcBorders>
              <w:right w:val="single" w:sz="4" w:space="0" w:color="auto"/>
            </w:tcBorders>
            <w:shd w:val="clear" w:color="auto" w:fill="auto"/>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Помощь в развитии молодежных </w:t>
            </w:r>
            <w:r w:rsidR="00834072" w:rsidRPr="00DF1530">
              <w:rPr>
                <w:rFonts w:ascii="Arial" w:hAnsi="Arial" w:cs="Arial"/>
                <w:sz w:val="18"/>
                <w:szCs w:val="18"/>
                <w:lang w:val="ru-RU"/>
              </w:rPr>
              <w:t>предприяти</w:t>
            </w:r>
            <w:r w:rsidRPr="00DF1530">
              <w:rPr>
                <w:rFonts w:ascii="Arial" w:hAnsi="Arial" w:cs="Arial"/>
                <w:sz w:val="18"/>
                <w:szCs w:val="18"/>
                <w:lang w:val="ru-RU"/>
              </w:rPr>
              <w:t>й</w:t>
            </w:r>
          </w:p>
        </w:tc>
        <w:tc>
          <w:tcPr>
            <w:tcW w:w="1276" w:type="dxa"/>
            <w:tcBorders>
              <w:left w:val="single" w:sz="4" w:space="0" w:color="auto"/>
            </w:tcBorders>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41</w:t>
            </w:r>
          </w:p>
        </w:tc>
        <w:tc>
          <w:tcPr>
            <w:tcW w:w="1276" w:type="dxa"/>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2</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3</w:t>
            </w:r>
          </w:p>
        </w:tc>
        <w:tc>
          <w:tcPr>
            <w:tcW w:w="1134" w:type="dxa"/>
            <w:tcBorders>
              <w:left w:val="single" w:sz="4" w:space="0" w:color="auto"/>
            </w:tcBorders>
            <w:shd w:val="clear" w:color="auto" w:fill="auto"/>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65</w:t>
            </w:r>
          </w:p>
        </w:tc>
        <w:tc>
          <w:tcPr>
            <w:tcW w:w="1559" w:type="dxa"/>
            <w:tcBorders>
              <w:right w:val="single" w:sz="4" w:space="0" w:color="auto"/>
            </w:tcBorders>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3</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2</w:t>
            </w:r>
          </w:p>
        </w:tc>
      </w:tr>
      <w:tr w:rsidR="008C7A93" w:rsidRPr="00DF1530" w:rsidTr="005E53F2">
        <w:trPr>
          <w:trHeight w:val="227"/>
        </w:trPr>
        <w:tc>
          <w:tcPr>
            <w:tcW w:w="506" w:type="dxa"/>
            <w:tcBorders>
              <w:left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3.</w:t>
            </w:r>
          </w:p>
        </w:tc>
        <w:tc>
          <w:tcPr>
            <w:tcW w:w="3344" w:type="dxa"/>
            <w:tcBorders>
              <w:right w:val="single" w:sz="4" w:space="0" w:color="auto"/>
            </w:tcBorders>
            <w:shd w:val="clear" w:color="auto" w:fill="DBE5F1" w:themeFill="accent1" w:themeFillTint="33"/>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Поддержка малых инновационных предприятий</w:t>
            </w:r>
            <w:r w:rsidR="008C7A93" w:rsidRPr="00DF1530">
              <w:rPr>
                <w:rFonts w:ascii="Arial" w:hAnsi="Arial" w:cs="Arial"/>
                <w:sz w:val="18"/>
                <w:szCs w:val="18"/>
                <w:lang w:val="ru-RU"/>
              </w:rPr>
              <w:t xml:space="preserve"> </w:t>
            </w:r>
          </w:p>
        </w:tc>
        <w:tc>
          <w:tcPr>
            <w:tcW w:w="1276"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2</w:t>
            </w:r>
            <w:r w:rsidR="003975EE" w:rsidRPr="00DF1530">
              <w:rPr>
                <w:rFonts w:ascii="Arial" w:hAnsi="Arial" w:cs="Arial"/>
                <w:sz w:val="18"/>
                <w:szCs w:val="18"/>
                <w:lang w:val="ru-RU"/>
              </w:rPr>
              <w:t>,</w:t>
            </w:r>
            <w:r w:rsidRPr="00DF1530">
              <w:rPr>
                <w:rFonts w:ascii="Arial" w:hAnsi="Arial" w:cs="Arial"/>
                <w:sz w:val="18"/>
                <w:szCs w:val="18"/>
                <w:lang w:val="ru-RU"/>
              </w:rPr>
              <w:t>48</w:t>
            </w:r>
          </w:p>
        </w:tc>
        <w:tc>
          <w:tcPr>
            <w:tcW w:w="1276" w:type="dxa"/>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13</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9</w:t>
            </w:r>
          </w:p>
        </w:tc>
        <w:tc>
          <w:tcPr>
            <w:tcW w:w="1134"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95</w:t>
            </w:r>
          </w:p>
        </w:tc>
        <w:tc>
          <w:tcPr>
            <w:tcW w:w="1559" w:type="dxa"/>
            <w:tcBorders>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9</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7</w:t>
            </w:r>
          </w:p>
        </w:tc>
      </w:tr>
      <w:tr w:rsidR="008C7A93" w:rsidRPr="00DF1530" w:rsidTr="005E53F2">
        <w:trPr>
          <w:trHeight w:val="227"/>
        </w:trPr>
        <w:tc>
          <w:tcPr>
            <w:tcW w:w="506" w:type="dxa"/>
            <w:tcBorders>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4.</w:t>
            </w:r>
          </w:p>
        </w:tc>
        <w:tc>
          <w:tcPr>
            <w:tcW w:w="3344" w:type="dxa"/>
            <w:tcBorders>
              <w:right w:val="single" w:sz="4" w:space="0" w:color="auto"/>
            </w:tcBorders>
            <w:shd w:val="clear" w:color="auto" w:fill="auto"/>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Помощь в аренде и приобретении современного производственного </w:t>
            </w:r>
            <w:r w:rsidR="00BA1F08" w:rsidRPr="00DF1530">
              <w:rPr>
                <w:rFonts w:ascii="Arial" w:hAnsi="Arial" w:cs="Arial"/>
                <w:sz w:val="18"/>
                <w:szCs w:val="18"/>
                <w:lang w:val="ru-RU"/>
              </w:rPr>
              <w:t>оборудовани</w:t>
            </w:r>
            <w:r w:rsidRPr="00DF1530">
              <w:rPr>
                <w:rFonts w:ascii="Arial" w:hAnsi="Arial" w:cs="Arial"/>
                <w:sz w:val="18"/>
                <w:szCs w:val="18"/>
                <w:lang w:val="ru-RU"/>
              </w:rPr>
              <w:t>я</w:t>
            </w:r>
            <w:r w:rsidR="008C7A93" w:rsidRPr="00DF1530">
              <w:rPr>
                <w:rFonts w:ascii="Arial" w:hAnsi="Arial" w:cs="Arial"/>
                <w:sz w:val="18"/>
                <w:szCs w:val="18"/>
                <w:lang w:val="ru-RU"/>
              </w:rPr>
              <w:t xml:space="preserve"> </w:t>
            </w:r>
            <w:r w:rsidRPr="00DF1530">
              <w:rPr>
                <w:rFonts w:ascii="Arial" w:hAnsi="Arial" w:cs="Arial"/>
                <w:sz w:val="18"/>
                <w:szCs w:val="18"/>
                <w:lang w:val="ru-RU"/>
              </w:rPr>
              <w:t>и технических средств</w:t>
            </w:r>
          </w:p>
        </w:tc>
        <w:tc>
          <w:tcPr>
            <w:tcW w:w="1276" w:type="dxa"/>
            <w:tcBorders>
              <w:left w:val="single" w:sz="4" w:space="0" w:color="auto"/>
            </w:tcBorders>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90</w:t>
            </w:r>
          </w:p>
        </w:tc>
        <w:tc>
          <w:tcPr>
            <w:tcW w:w="1276" w:type="dxa"/>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10</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7</w:t>
            </w:r>
          </w:p>
        </w:tc>
        <w:tc>
          <w:tcPr>
            <w:tcW w:w="1134" w:type="dxa"/>
            <w:tcBorders>
              <w:left w:val="single" w:sz="4" w:space="0" w:color="auto"/>
            </w:tcBorders>
            <w:shd w:val="clear" w:color="auto" w:fill="auto"/>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4</w:t>
            </w:r>
            <w:r w:rsidR="003975EE" w:rsidRPr="00DF1530">
              <w:rPr>
                <w:rFonts w:ascii="Arial" w:hAnsi="Arial" w:cs="Arial"/>
                <w:sz w:val="18"/>
                <w:szCs w:val="18"/>
                <w:lang w:val="ru-RU"/>
              </w:rPr>
              <w:t>,</w:t>
            </w:r>
            <w:r w:rsidRPr="00DF1530">
              <w:rPr>
                <w:rFonts w:ascii="Arial" w:hAnsi="Arial" w:cs="Arial"/>
                <w:sz w:val="18"/>
                <w:szCs w:val="18"/>
                <w:lang w:val="ru-RU"/>
              </w:rPr>
              <w:t>5</w:t>
            </w:r>
          </w:p>
        </w:tc>
        <w:tc>
          <w:tcPr>
            <w:tcW w:w="1559" w:type="dxa"/>
            <w:tcBorders>
              <w:right w:val="single" w:sz="4" w:space="0" w:color="auto"/>
            </w:tcBorders>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22</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4</w:t>
            </w:r>
          </w:p>
        </w:tc>
      </w:tr>
      <w:tr w:rsidR="008C7A93" w:rsidRPr="00DF1530" w:rsidTr="005E53F2">
        <w:trPr>
          <w:trHeight w:val="227"/>
        </w:trPr>
        <w:tc>
          <w:tcPr>
            <w:tcW w:w="506" w:type="dxa"/>
            <w:tcBorders>
              <w:left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5.</w:t>
            </w:r>
          </w:p>
        </w:tc>
        <w:tc>
          <w:tcPr>
            <w:tcW w:w="3344" w:type="dxa"/>
            <w:tcBorders>
              <w:right w:val="single" w:sz="4" w:space="0" w:color="auto"/>
            </w:tcBorders>
            <w:shd w:val="clear" w:color="auto" w:fill="DBE5F1" w:themeFill="accent1" w:themeFillTint="33"/>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Поддержка </w:t>
            </w:r>
            <w:r w:rsidR="00F736B7" w:rsidRPr="00DF1530">
              <w:rPr>
                <w:rFonts w:ascii="Arial" w:hAnsi="Arial" w:cs="Arial"/>
                <w:sz w:val="18"/>
                <w:szCs w:val="18"/>
                <w:lang w:val="ru-RU"/>
              </w:rPr>
              <w:t>МСП</w:t>
            </w:r>
            <w:r w:rsidR="00D450DE" w:rsidRPr="00DF1530">
              <w:rPr>
                <w:rFonts w:ascii="Arial" w:hAnsi="Arial" w:cs="Arial"/>
                <w:sz w:val="18"/>
                <w:szCs w:val="18"/>
                <w:lang w:val="ru-RU"/>
              </w:rPr>
              <w:t>, ориентированных на экспорт продукции</w:t>
            </w:r>
          </w:p>
        </w:tc>
        <w:tc>
          <w:tcPr>
            <w:tcW w:w="1276"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26</w:t>
            </w:r>
          </w:p>
        </w:tc>
        <w:tc>
          <w:tcPr>
            <w:tcW w:w="1276" w:type="dxa"/>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5</w:t>
            </w:r>
          </w:p>
        </w:tc>
        <w:tc>
          <w:tcPr>
            <w:tcW w:w="1134"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39</w:t>
            </w:r>
          </w:p>
        </w:tc>
        <w:tc>
          <w:tcPr>
            <w:tcW w:w="1559" w:type="dxa"/>
            <w:tcBorders>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9</w:t>
            </w:r>
          </w:p>
        </w:tc>
      </w:tr>
      <w:tr w:rsidR="008C7A93" w:rsidRPr="00DF1530" w:rsidTr="005E53F2">
        <w:trPr>
          <w:trHeight w:val="227"/>
        </w:trPr>
        <w:tc>
          <w:tcPr>
            <w:tcW w:w="506" w:type="dxa"/>
            <w:tcBorders>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6.</w:t>
            </w:r>
          </w:p>
        </w:tc>
        <w:tc>
          <w:tcPr>
            <w:tcW w:w="3344" w:type="dxa"/>
            <w:tcBorders>
              <w:right w:val="single" w:sz="4" w:space="0" w:color="auto"/>
            </w:tcBorders>
            <w:shd w:val="clear" w:color="auto" w:fill="auto"/>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Развитие микрофинансирования</w:t>
            </w:r>
          </w:p>
        </w:tc>
        <w:tc>
          <w:tcPr>
            <w:tcW w:w="1276" w:type="dxa"/>
            <w:tcBorders>
              <w:left w:val="single" w:sz="4" w:space="0" w:color="auto"/>
            </w:tcBorders>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2</w:t>
            </w:r>
            <w:r w:rsidR="003975EE" w:rsidRPr="00DF1530">
              <w:rPr>
                <w:rFonts w:ascii="Arial" w:hAnsi="Arial" w:cs="Arial"/>
                <w:sz w:val="18"/>
                <w:szCs w:val="18"/>
                <w:lang w:val="ru-RU"/>
              </w:rPr>
              <w:t>,</w:t>
            </w:r>
            <w:r w:rsidRPr="00DF1530">
              <w:rPr>
                <w:rFonts w:ascii="Arial" w:hAnsi="Arial" w:cs="Arial"/>
                <w:sz w:val="18"/>
                <w:szCs w:val="18"/>
                <w:lang w:val="ru-RU"/>
              </w:rPr>
              <w:t>06</w:t>
            </w:r>
          </w:p>
        </w:tc>
        <w:tc>
          <w:tcPr>
            <w:tcW w:w="1276" w:type="dxa"/>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11</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6</w:t>
            </w:r>
          </w:p>
        </w:tc>
        <w:tc>
          <w:tcPr>
            <w:tcW w:w="1134" w:type="dxa"/>
            <w:tcBorders>
              <w:left w:val="single" w:sz="4" w:space="0" w:color="auto"/>
            </w:tcBorders>
            <w:shd w:val="clear" w:color="auto" w:fill="auto"/>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2</w:t>
            </w:r>
            <w:r w:rsidR="003975EE" w:rsidRPr="00DF1530">
              <w:rPr>
                <w:rFonts w:ascii="Arial" w:hAnsi="Arial" w:cs="Arial"/>
                <w:sz w:val="18"/>
                <w:szCs w:val="18"/>
                <w:lang w:val="ru-RU"/>
              </w:rPr>
              <w:t>,</w:t>
            </w:r>
            <w:r w:rsidRPr="00DF1530">
              <w:rPr>
                <w:rFonts w:ascii="Arial" w:hAnsi="Arial" w:cs="Arial"/>
                <w:sz w:val="18"/>
                <w:szCs w:val="18"/>
                <w:lang w:val="ru-RU"/>
              </w:rPr>
              <w:t>06</w:t>
            </w:r>
          </w:p>
        </w:tc>
        <w:tc>
          <w:tcPr>
            <w:tcW w:w="1559" w:type="dxa"/>
            <w:tcBorders>
              <w:right w:val="single" w:sz="4" w:space="0" w:color="auto"/>
            </w:tcBorders>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10</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2</w:t>
            </w:r>
          </w:p>
        </w:tc>
      </w:tr>
      <w:tr w:rsidR="008C7A93" w:rsidRPr="00DF1530" w:rsidTr="005E53F2">
        <w:trPr>
          <w:trHeight w:val="227"/>
        </w:trPr>
        <w:tc>
          <w:tcPr>
            <w:tcW w:w="506" w:type="dxa"/>
            <w:tcBorders>
              <w:left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7.</w:t>
            </w:r>
          </w:p>
        </w:tc>
        <w:tc>
          <w:tcPr>
            <w:tcW w:w="3344" w:type="dxa"/>
            <w:tcBorders>
              <w:right w:val="single" w:sz="4" w:space="0" w:color="auto"/>
            </w:tcBorders>
            <w:shd w:val="clear" w:color="auto" w:fill="DBE5F1" w:themeFill="accent1" w:themeFillTint="33"/>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Развитие фондов кредитных гарантий </w:t>
            </w:r>
          </w:p>
        </w:tc>
        <w:tc>
          <w:tcPr>
            <w:tcW w:w="1276"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3</w:t>
            </w:r>
            <w:r w:rsidR="003975EE" w:rsidRPr="00DF1530">
              <w:rPr>
                <w:rFonts w:ascii="Arial" w:hAnsi="Arial" w:cs="Arial"/>
                <w:sz w:val="18"/>
                <w:szCs w:val="18"/>
                <w:lang w:val="ru-RU"/>
              </w:rPr>
              <w:t>,</w:t>
            </w:r>
            <w:r w:rsidRPr="00DF1530">
              <w:rPr>
                <w:rFonts w:ascii="Arial" w:hAnsi="Arial" w:cs="Arial"/>
                <w:sz w:val="18"/>
                <w:szCs w:val="18"/>
                <w:lang w:val="ru-RU"/>
              </w:rPr>
              <w:t>42</w:t>
            </w:r>
          </w:p>
        </w:tc>
        <w:tc>
          <w:tcPr>
            <w:tcW w:w="1276" w:type="dxa"/>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19</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2</w:t>
            </w:r>
          </w:p>
        </w:tc>
        <w:tc>
          <w:tcPr>
            <w:tcW w:w="1134"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3</w:t>
            </w:r>
            <w:r w:rsidR="003975EE" w:rsidRPr="00DF1530">
              <w:rPr>
                <w:rFonts w:ascii="Arial" w:hAnsi="Arial" w:cs="Arial"/>
                <w:sz w:val="18"/>
                <w:szCs w:val="18"/>
                <w:lang w:val="ru-RU"/>
              </w:rPr>
              <w:t>,</w:t>
            </w:r>
            <w:r w:rsidRPr="00DF1530">
              <w:rPr>
                <w:rFonts w:ascii="Arial" w:hAnsi="Arial" w:cs="Arial"/>
                <w:sz w:val="18"/>
                <w:szCs w:val="18"/>
                <w:lang w:val="ru-RU"/>
              </w:rPr>
              <w:t>31</w:t>
            </w:r>
          </w:p>
        </w:tc>
        <w:tc>
          <w:tcPr>
            <w:tcW w:w="1559" w:type="dxa"/>
            <w:tcBorders>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16</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4</w:t>
            </w:r>
          </w:p>
        </w:tc>
      </w:tr>
      <w:tr w:rsidR="008C7A93" w:rsidRPr="00DF1530" w:rsidTr="005E53F2">
        <w:trPr>
          <w:trHeight w:val="227"/>
        </w:trPr>
        <w:tc>
          <w:tcPr>
            <w:tcW w:w="506" w:type="dxa"/>
            <w:tcBorders>
              <w:left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8.</w:t>
            </w:r>
          </w:p>
        </w:tc>
        <w:tc>
          <w:tcPr>
            <w:tcW w:w="3344" w:type="dxa"/>
            <w:tcBorders>
              <w:right w:val="single" w:sz="4" w:space="0" w:color="auto"/>
            </w:tcBorders>
            <w:shd w:val="clear" w:color="auto" w:fill="DBE5F1" w:themeFill="accent1" w:themeFillTint="33"/>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 xml:space="preserve">Поддержка муниципальных </w:t>
            </w:r>
            <w:r w:rsidR="0023536F" w:rsidRPr="00DF1530">
              <w:rPr>
                <w:rFonts w:ascii="Arial" w:hAnsi="Arial" w:cs="Arial"/>
                <w:sz w:val="18"/>
                <w:szCs w:val="18"/>
                <w:lang w:val="ru-RU"/>
              </w:rPr>
              <w:t>программ</w:t>
            </w:r>
          </w:p>
        </w:tc>
        <w:tc>
          <w:tcPr>
            <w:tcW w:w="1276"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72</w:t>
            </w:r>
          </w:p>
        </w:tc>
        <w:tc>
          <w:tcPr>
            <w:tcW w:w="1276" w:type="dxa"/>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9</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6</w:t>
            </w:r>
          </w:p>
        </w:tc>
        <w:tc>
          <w:tcPr>
            <w:tcW w:w="1134" w:type="dxa"/>
            <w:tcBorders>
              <w:lef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87</w:t>
            </w:r>
          </w:p>
        </w:tc>
        <w:tc>
          <w:tcPr>
            <w:tcW w:w="1559" w:type="dxa"/>
            <w:tcBorders>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9</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3</w:t>
            </w:r>
          </w:p>
        </w:tc>
      </w:tr>
      <w:tr w:rsidR="008C7A93" w:rsidRPr="00DF1530" w:rsidTr="005E53F2">
        <w:trPr>
          <w:trHeight w:val="227"/>
        </w:trPr>
        <w:tc>
          <w:tcPr>
            <w:tcW w:w="506" w:type="dxa"/>
            <w:tcBorders>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9.</w:t>
            </w:r>
          </w:p>
        </w:tc>
        <w:tc>
          <w:tcPr>
            <w:tcW w:w="3344" w:type="dxa"/>
            <w:tcBorders>
              <w:right w:val="single" w:sz="4" w:space="0" w:color="auto"/>
            </w:tcBorders>
            <w:shd w:val="clear" w:color="auto" w:fill="auto"/>
            <w:vAlign w:val="bottom"/>
          </w:tcPr>
          <w:p w:rsidR="008C7A93" w:rsidRPr="00DF1530" w:rsidRDefault="003975EE" w:rsidP="00D450DE">
            <w:pPr>
              <w:keepNext/>
              <w:keepLines/>
              <w:jc w:val="left"/>
              <w:rPr>
                <w:rFonts w:ascii="Arial" w:hAnsi="Arial" w:cs="Arial"/>
                <w:sz w:val="18"/>
                <w:szCs w:val="18"/>
                <w:lang w:val="ru-RU"/>
              </w:rPr>
            </w:pPr>
            <w:r w:rsidRPr="00DF1530">
              <w:rPr>
                <w:rFonts w:ascii="Arial" w:hAnsi="Arial" w:cs="Arial"/>
                <w:sz w:val="18"/>
                <w:szCs w:val="18"/>
                <w:lang w:val="ru-RU"/>
              </w:rPr>
              <w:t>Диверсификация</w:t>
            </w:r>
            <w:r w:rsidR="008C7A93" w:rsidRPr="00DF1530">
              <w:rPr>
                <w:rFonts w:ascii="Arial" w:hAnsi="Arial" w:cs="Arial"/>
                <w:sz w:val="18"/>
                <w:szCs w:val="18"/>
                <w:lang w:val="ru-RU"/>
              </w:rPr>
              <w:t xml:space="preserve"> </w:t>
            </w:r>
            <w:r w:rsidR="00B31706" w:rsidRPr="00DF1530">
              <w:rPr>
                <w:rFonts w:ascii="Arial" w:hAnsi="Arial" w:cs="Arial"/>
                <w:sz w:val="18"/>
                <w:szCs w:val="18"/>
                <w:lang w:val="ru-RU"/>
              </w:rPr>
              <w:t>городов с градообразующими предприятиями</w:t>
            </w:r>
          </w:p>
        </w:tc>
        <w:tc>
          <w:tcPr>
            <w:tcW w:w="1276" w:type="dxa"/>
            <w:tcBorders>
              <w:left w:val="single" w:sz="4" w:space="0" w:color="auto"/>
            </w:tcBorders>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55</w:t>
            </w:r>
          </w:p>
        </w:tc>
        <w:tc>
          <w:tcPr>
            <w:tcW w:w="1276" w:type="dxa"/>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3</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1</w:t>
            </w:r>
          </w:p>
        </w:tc>
        <w:tc>
          <w:tcPr>
            <w:tcW w:w="1134" w:type="dxa"/>
            <w:tcBorders>
              <w:left w:val="single" w:sz="4" w:space="0" w:color="auto"/>
            </w:tcBorders>
            <w:shd w:val="clear" w:color="auto" w:fill="auto"/>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0</w:t>
            </w:r>
            <w:r w:rsidR="003975EE" w:rsidRPr="00DF1530">
              <w:rPr>
                <w:rFonts w:ascii="Arial" w:hAnsi="Arial" w:cs="Arial"/>
                <w:sz w:val="18"/>
                <w:szCs w:val="18"/>
                <w:lang w:val="ru-RU"/>
              </w:rPr>
              <w:t>,</w:t>
            </w:r>
            <w:r w:rsidRPr="00DF1530">
              <w:rPr>
                <w:rFonts w:ascii="Arial" w:hAnsi="Arial" w:cs="Arial"/>
                <w:sz w:val="18"/>
                <w:szCs w:val="18"/>
                <w:lang w:val="ru-RU"/>
              </w:rPr>
              <w:t>54</w:t>
            </w:r>
          </w:p>
        </w:tc>
        <w:tc>
          <w:tcPr>
            <w:tcW w:w="1559" w:type="dxa"/>
            <w:tcBorders>
              <w:right w:val="single" w:sz="4" w:space="0" w:color="auto"/>
            </w:tcBorders>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2</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7</w:t>
            </w:r>
          </w:p>
        </w:tc>
      </w:tr>
      <w:tr w:rsidR="008C7A93" w:rsidRPr="00DF1530" w:rsidTr="005E53F2">
        <w:trPr>
          <w:trHeight w:val="227"/>
        </w:trPr>
        <w:tc>
          <w:tcPr>
            <w:tcW w:w="506" w:type="dxa"/>
            <w:tcBorders>
              <w:left w:val="single" w:sz="4" w:space="0" w:color="auto"/>
            </w:tcBorders>
            <w:shd w:val="clear" w:color="auto" w:fill="auto"/>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t>10.</w:t>
            </w:r>
          </w:p>
        </w:tc>
        <w:tc>
          <w:tcPr>
            <w:tcW w:w="3344" w:type="dxa"/>
            <w:tcBorders>
              <w:right w:val="single" w:sz="4" w:space="0" w:color="auto"/>
            </w:tcBorders>
            <w:shd w:val="clear" w:color="auto" w:fill="auto"/>
            <w:vAlign w:val="bottom"/>
          </w:tcPr>
          <w:p w:rsidR="008C7A93" w:rsidRPr="00DF1530" w:rsidRDefault="00B31706" w:rsidP="00D450DE">
            <w:pPr>
              <w:keepNext/>
              <w:keepLines/>
              <w:jc w:val="left"/>
              <w:rPr>
                <w:rFonts w:ascii="Arial" w:hAnsi="Arial" w:cs="Arial"/>
                <w:sz w:val="18"/>
                <w:szCs w:val="18"/>
                <w:lang w:val="ru-RU"/>
              </w:rPr>
            </w:pPr>
            <w:r w:rsidRPr="00DF1530">
              <w:rPr>
                <w:rFonts w:ascii="Arial" w:hAnsi="Arial" w:cs="Arial"/>
                <w:sz w:val="18"/>
                <w:szCs w:val="18"/>
                <w:lang w:val="ru-RU"/>
              </w:rPr>
              <w:t>Прочее</w:t>
            </w:r>
          </w:p>
        </w:tc>
        <w:tc>
          <w:tcPr>
            <w:tcW w:w="1276" w:type="dxa"/>
            <w:tcBorders>
              <w:left w:val="single" w:sz="4" w:space="0" w:color="auto"/>
            </w:tcBorders>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16</w:t>
            </w:r>
          </w:p>
        </w:tc>
        <w:tc>
          <w:tcPr>
            <w:tcW w:w="1276" w:type="dxa"/>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6</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5</w:t>
            </w:r>
          </w:p>
        </w:tc>
        <w:tc>
          <w:tcPr>
            <w:tcW w:w="1134" w:type="dxa"/>
            <w:tcBorders>
              <w:left w:val="single" w:sz="4" w:space="0" w:color="auto"/>
            </w:tcBorders>
            <w:shd w:val="clear" w:color="auto" w:fill="auto"/>
            <w:vAlign w:val="center"/>
          </w:tcPr>
          <w:p w:rsidR="008C7A93" w:rsidRPr="00DF1530" w:rsidRDefault="008C7A93" w:rsidP="005E53F2">
            <w:pPr>
              <w:keepNext/>
              <w:keepLines/>
              <w:jc w:val="right"/>
              <w:rPr>
                <w:rFonts w:ascii="Arial" w:hAnsi="Arial" w:cs="Arial"/>
                <w:sz w:val="18"/>
                <w:szCs w:val="18"/>
                <w:lang w:val="ru-RU"/>
              </w:rPr>
            </w:pPr>
            <w:r w:rsidRPr="00DF1530">
              <w:rPr>
                <w:rFonts w:ascii="Arial" w:hAnsi="Arial" w:cs="Arial"/>
                <w:sz w:val="18"/>
                <w:szCs w:val="18"/>
                <w:lang w:val="ru-RU"/>
              </w:rPr>
              <w:t>1</w:t>
            </w:r>
            <w:r w:rsidR="003975EE" w:rsidRPr="00DF1530">
              <w:rPr>
                <w:rFonts w:ascii="Arial" w:hAnsi="Arial" w:cs="Arial"/>
                <w:sz w:val="18"/>
                <w:szCs w:val="18"/>
                <w:lang w:val="ru-RU"/>
              </w:rPr>
              <w:t>,</w:t>
            </w:r>
            <w:r w:rsidRPr="00DF1530">
              <w:rPr>
                <w:rFonts w:ascii="Arial" w:hAnsi="Arial" w:cs="Arial"/>
                <w:sz w:val="18"/>
                <w:szCs w:val="18"/>
                <w:lang w:val="ru-RU"/>
              </w:rPr>
              <w:t>44</w:t>
            </w:r>
          </w:p>
        </w:tc>
        <w:tc>
          <w:tcPr>
            <w:tcW w:w="1559" w:type="dxa"/>
            <w:tcBorders>
              <w:right w:val="single" w:sz="4" w:space="0" w:color="auto"/>
            </w:tcBorders>
            <w:vAlign w:val="center"/>
          </w:tcPr>
          <w:p w:rsidR="008C7A93" w:rsidRPr="00DF1530" w:rsidRDefault="008C7A93" w:rsidP="005E53F2">
            <w:pPr>
              <w:keepNext/>
              <w:keepLines/>
              <w:jc w:val="right"/>
              <w:rPr>
                <w:rFonts w:ascii="Arial" w:hAnsi="Arial" w:cs="Arial"/>
                <w:color w:val="000000"/>
                <w:sz w:val="18"/>
                <w:szCs w:val="18"/>
                <w:lang w:val="ru-RU"/>
              </w:rPr>
            </w:pPr>
            <w:r w:rsidRPr="00DF1530">
              <w:rPr>
                <w:rFonts w:ascii="Arial" w:hAnsi="Arial" w:cs="Arial"/>
                <w:color w:val="000000"/>
                <w:sz w:val="18"/>
                <w:szCs w:val="18"/>
                <w:lang w:val="ru-RU"/>
              </w:rPr>
              <w:t>7</w:t>
            </w:r>
            <w:r w:rsidR="003975EE" w:rsidRPr="00DF1530">
              <w:rPr>
                <w:rFonts w:ascii="Arial" w:hAnsi="Arial" w:cs="Arial"/>
                <w:color w:val="000000"/>
                <w:sz w:val="18"/>
                <w:szCs w:val="18"/>
                <w:lang w:val="ru-RU"/>
              </w:rPr>
              <w:t>,</w:t>
            </w:r>
            <w:r w:rsidRPr="00DF1530">
              <w:rPr>
                <w:rFonts w:ascii="Arial" w:hAnsi="Arial" w:cs="Arial"/>
                <w:color w:val="000000"/>
                <w:sz w:val="18"/>
                <w:szCs w:val="18"/>
                <w:lang w:val="ru-RU"/>
              </w:rPr>
              <w:t>2</w:t>
            </w:r>
          </w:p>
        </w:tc>
      </w:tr>
      <w:tr w:rsidR="008C7A93" w:rsidRPr="00DF1530" w:rsidTr="005E53F2">
        <w:trPr>
          <w:trHeight w:val="227"/>
        </w:trPr>
        <w:tc>
          <w:tcPr>
            <w:tcW w:w="506" w:type="dxa"/>
            <w:tcBorders>
              <w:left w:val="single" w:sz="4" w:space="0" w:color="auto"/>
              <w:bottom w:val="single" w:sz="4" w:space="0" w:color="auto"/>
            </w:tcBorders>
            <w:shd w:val="clear" w:color="auto" w:fill="DBE5F1" w:themeFill="accent1" w:themeFillTint="33"/>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br w:type="page"/>
              <w:t>B.</w:t>
            </w:r>
          </w:p>
        </w:tc>
        <w:tc>
          <w:tcPr>
            <w:tcW w:w="3344" w:type="dxa"/>
            <w:tcBorders>
              <w:bottom w:val="single" w:sz="4" w:space="0" w:color="auto"/>
              <w:right w:val="single" w:sz="4" w:space="0" w:color="auto"/>
            </w:tcBorders>
            <w:shd w:val="clear" w:color="auto" w:fill="DBE5F1" w:themeFill="accent1" w:themeFillTint="33"/>
          </w:tcPr>
          <w:p w:rsidR="008C7A93" w:rsidRPr="00DF1530" w:rsidRDefault="00B31706" w:rsidP="00D450DE">
            <w:pPr>
              <w:keepNext/>
              <w:keepLines/>
              <w:jc w:val="left"/>
              <w:rPr>
                <w:rFonts w:ascii="Arial" w:hAnsi="Arial" w:cs="Arial"/>
                <w:b/>
                <w:i/>
                <w:sz w:val="18"/>
                <w:szCs w:val="18"/>
                <w:lang w:val="ru-RU"/>
              </w:rPr>
            </w:pPr>
            <w:r w:rsidRPr="00DF1530">
              <w:rPr>
                <w:rFonts w:ascii="Arial" w:hAnsi="Arial" w:cs="Arial"/>
                <w:b/>
                <w:i/>
                <w:sz w:val="18"/>
                <w:szCs w:val="18"/>
                <w:lang w:val="ru-RU"/>
              </w:rPr>
              <w:t>Создание и развитие вспомогательной инфраструктуры для предприятий</w:t>
            </w:r>
          </w:p>
        </w:tc>
        <w:tc>
          <w:tcPr>
            <w:tcW w:w="1276" w:type="dxa"/>
            <w:tcBorders>
              <w:left w:val="single" w:sz="4" w:space="0" w:color="auto"/>
              <w:bottom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b/>
                <w:i/>
                <w:sz w:val="18"/>
                <w:szCs w:val="18"/>
                <w:lang w:val="ru-RU"/>
              </w:rPr>
            </w:pPr>
            <w:r w:rsidRPr="00DF1530">
              <w:rPr>
                <w:rFonts w:ascii="Arial" w:hAnsi="Arial" w:cs="Arial"/>
                <w:b/>
                <w:i/>
                <w:sz w:val="18"/>
                <w:szCs w:val="18"/>
                <w:lang w:val="ru-RU"/>
              </w:rPr>
              <w:t>1</w:t>
            </w:r>
            <w:r w:rsidR="003975EE" w:rsidRPr="00DF1530">
              <w:rPr>
                <w:rFonts w:ascii="Arial" w:hAnsi="Arial" w:cs="Arial"/>
                <w:b/>
                <w:i/>
                <w:sz w:val="18"/>
                <w:szCs w:val="18"/>
                <w:lang w:val="ru-RU"/>
              </w:rPr>
              <w:t>,</w:t>
            </w:r>
            <w:r w:rsidRPr="00DF1530">
              <w:rPr>
                <w:rFonts w:ascii="Arial" w:hAnsi="Arial" w:cs="Arial"/>
                <w:b/>
                <w:i/>
                <w:sz w:val="18"/>
                <w:szCs w:val="18"/>
                <w:lang w:val="ru-RU"/>
              </w:rPr>
              <w:t>83</w:t>
            </w:r>
          </w:p>
        </w:tc>
        <w:tc>
          <w:tcPr>
            <w:tcW w:w="1276" w:type="dxa"/>
            <w:tcBorders>
              <w:bottom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10</w:t>
            </w:r>
            <w:r w:rsidR="003975EE" w:rsidRPr="00DF1530">
              <w:rPr>
                <w:rFonts w:ascii="Arial" w:hAnsi="Arial" w:cs="Arial"/>
                <w:b/>
                <w:bCs/>
                <w:i/>
                <w:color w:val="000000"/>
                <w:sz w:val="18"/>
                <w:szCs w:val="18"/>
                <w:lang w:val="ru-RU"/>
              </w:rPr>
              <w:t>,</w:t>
            </w:r>
            <w:r w:rsidRPr="00DF1530">
              <w:rPr>
                <w:rFonts w:ascii="Arial" w:hAnsi="Arial" w:cs="Arial"/>
                <w:b/>
                <w:bCs/>
                <w:i/>
                <w:color w:val="000000"/>
                <w:sz w:val="18"/>
                <w:szCs w:val="18"/>
                <w:lang w:val="ru-RU"/>
              </w:rPr>
              <w:t>3</w:t>
            </w:r>
          </w:p>
        </w:tc>
        <w:tc>
          <w:tcPr>
            <w:tcW w:w="1134" w:type="dxa"/>
            <w:tcBorders>
              <w:left w:val="single" w:sz="4" w:space="0" w:color="auto"/>
              <w:bottom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b/>
                <w:i/>
                <w:sz w:val="18"/>
                <w:szCs w:val="18"/>
                <w:lang w:val="ru-RU"/>
              </w:rPr>
            </w:pPr>
            <w:r w:rsidRPr="00DF1530">
              <w:rPr>
                <w:rFonts w:ascii="Arial" w:hAnsi="Arial" w:cs="Arial"/>
                <w:b/>
                <w:i/>
                <w:sz w:val="18"/>
                <w:szCs w:val="18"/>
                <w:lang w:val="ru-RU"/>
              </w:rPr>
              <w:t>1</w:t>
            </w:r>
            <w:r w:rsidR="003975EE" w:rsidRPr="00DF1530">
              <w:rPr>
                <w:rFonts w:ascii="Arial" w:hAnsi="Arial" w:cs="Arial"/>
                <w:b/>
                <w:i/>
                <w:sz w:val="18"/>
                <w:szCs w:val="18"/>
                <w:lang w:val="ru-RU"/>
              </w:rPr>
              <w:t>,</w:t>
            </w:r>
            <w:r w:rsidRPr="00DF1530">
              <w:rPr>
                <w:rFonts w:ascii="Arial" w:hAnsi="Arial" w:cs="Arial"/>
                <w:b/>
                <w:i/>
                <w:sz w:val="18"/>
                <w:szCs w:val="18"/>
                <w:lang w:val="ru-RU"/>
              </w:rPr>
              <w:t>56</w:t>
            </w:r>
          </w:p>
        </w:tc>
        <w:tc>
          <w:tcPr>
            <w:tcW w:w="1559" w:type="dxa"/>
            <w:tcBorders>
              <w:bottom w:val="single" w:sz="4" w:space="0" w:color="auto"/>
              <w:right w:val="single" w:sz="4" w:space="0" w:color="auto"/>
            </w:tcBorders>
            <w:shd w:val="clear" w:color="auto" w:fill="DBE5F1" w:themeFill="accent1" w:themeFillTint="33"/>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7</w:t>
            </w:r>
            <w:r w:rsidR="003975EE" w:rsidRPr="00DF1530">
              <w:rPr>
                <w:rFonts w:ascii="Arial" w:hAnsi="Arial" w:cs="Arial"/>
                <w:b/>
                <w:bCs/>
                <w:i/>
                <w:color w:val="000000"/>
                <w:sz w:val="18"/>
                <w:szCs w:val="18"/>
                <w:lang w:val="ru-RU"/>
              </w:rPr>
              <w:t>,</w:t>
            </w:r>
            <w:r w:rsidRPr="00DF1530">
              <w:rPr>
                <w:rFonts w:ascii="Arial" w:hAnsi="Arial" w:cs="Arial"/>
                <w:b/>
                <w:bCs/>
                <w:i/>
                <w:color w:val="000000"/>
                <w:sz w:val="18"/>
                <w:szCs w:val="18"/>
                <w:lang w:val="ru-RU"/>
              </w:rPr>
              <w:t>7%</w:t>
            </w:r>
          </w:p>
        </w:tc>
      </w:tr>
      <w:tr w:rsidR="008C7A93" w:rsidRPr="00DF1530" w:rsidTr="005E53F2">
        <w:trPr>
          <w:trHeight w:val="227"/>
        </w:trPr>
        <w:tc>
          <w:tcPr>
            <w:tcW w:w="506" w:type="dxa"/>
            <w:tcBorders>
              <w:left w:val="single" w:sz="4" w:space="0" w:color="auto"/>
              <w:bottom w:val="single" w:sz="4" w:space="0" w:color="auto"/>
            </w:tcBorders>
            <w:shd w:val="clear" w:color="auto" w:fill="8DB3E2" w:themeFill="text2" w:themeFillTint="66"/>
            <w:vAlign w:val="center"/>
          </w:tcPr>
          <w:p w:rsidR="008C7A93" w:rsidRPr="00DF1530" w:rsidRDefault="008C7A93" w:rsidP="005E53F2">
            <w:pPr>
              <w:keepNext/>
              <w:keepLines/>
              <w:jc w:val="center"/>
              <w:rPr>
                <w:rFonts w:ascii="Arial" w:hAnsi="Arial" w:cs="Arial"/>
                <w:b/>
                <w:bCs/>
                <w:iCs/>
                <w:sz w:val="18"/>
                <w:szCs w:val="18"/>
                <w:lang w:val="ru-RU"/>
              </w:rPr>
            </w:pPr>
            <w:r w:rsidRPr="00DF1530">
              <w:rPr>
                <w:rFonts w:ascii="Arial" w:hAnsi="Arial" w:cs="Arial"/>
                <w:b/>
                <w:bCs/>
                <w:iCs/>
                <w:sz w:val="18"/>
                <w:szCs w:val="18"/>
                <w:lang w:val="ru-RU"/>
              </w:rPr>
              <w:br w:type="page"/>
            </w:r>
          </w:p>
        </w:tc>
        <w:tc>
          <w:tcPr>
            <w:tcW w:w="3344" w:type="dxa"/>
            <w:tcBorders>
              <w:bottom w:val="single" w:sz="4" w:space="0" w:color="auto"/>
              <w:right w:val="single" w:sz="4" w:space="0" w:color="auto"/>
            </w:tcBorders>
            <w:shd w:val="clear" w:color="auto" w:fill="8DB3E2" w:themeFill="text2" w:themeFillTint="66"/>
          </w:tcPr>
          <w:p w:rsidR="008C7A93" w:rsidRPr="00DF1530" w:rsidRDefault="00B31706" w:rsidP="00D450DE">
            <w:pPr>
              <w:keepNext/>
              <w:keepLines/>
              <w:jc w:val="left"/>
              <w:rPr>
                <w:rFonts w:ascii="Arial" w:hAnsi="Arial" w:cs="Arial"/>
                <w:b/>
                <w:i/>
                <w:sz w:val="18"/>
                <w:szCs w:val="18"/>
                <w:lang w:val="ru-RU"/>
              </w:rPr>
            </w:pPr>
            <w:r w:rsidRPr="00DF1530">
              <w:rPr>
                <w:rFonts w:ascii="Arial" w:hAnsi="Arial" w:cs="Arial"/>
                <w:b/>
                <w:i/>
                <w:sz w:val="18"/>
                <w:szCs w:val="18"/>
                <w:lang w:val="ru-RU"/>
              </w:rPr>
              <w:t>Итого</w:t>
            </w:r>
          </w:p>
        </w:tc>
        <w:tc>
          <w:tcPr>
            <w:tcW w:w="1276" w:type="dxa"/>
            <w:tcBorders>
              <w:left w:val="single" w:sz="4" w:space="0" w:color="auto"/>
              <w:bottom w:val="single" w:sz="4" w:space="0" w:color="auto"/>
            </w:tcBorders>
            <w:shd w:val="clear" w:color="auto" w:fill="8DB3E2" w:themeFill="text2" w:themeFillTint="66"/>
            <w:vAlign w:val="center"/>
          </w:tcPr>
          <w:p w:rsidR="008C7A93" w:rsidRPr="00DF1530" w:rsidRDefault="008C7A93" w:rsidP="005E53F2">
            <w:pPr>
              <w:keepNext/>
              <w:keepLines/>
              <w:jc w:val="right"/>
              <w:rPr>
                <w:rFonts w:ascii="Arial" w:hAnsi="Arial" w:cs="Arial"/>
                <w:b/>
                <w:i/>
                <w:sz w:val="18"/>
                <w:szCs w:val="18"/>
                <w:lang w:val="ru-RU"/>
              </w:rPr>
            </w:pPr>
            <w:r w:rsidRPr="00DF1530">
              <w:rPr>
                <w:rFonts w:ascii="Arial" w:hAnsi="Arial" w:cs="Arial"/>
                <w:b/>
                <w:i/>
                <w:sz w:val="18"/>
                <w:szCs w:val="18"/>
                <w:lang w:val="ru-RU"/>
              </w:rPr>
              <w:t>17</w:t>
            </w:r>
            <w:r w:rsidR="003975EE" w:rsidRPr="00DF1530">
              <w:rPr>
                <w:rFonts w:ascii="Arial" w:hAnsi="Arial" w:cs="Arial"/>
                <w:b/>
                <w:i/>
                <w:sz w:val="18"/>
                <w:szCs w:val="18"/>
                <w:lang w:val="ru-RU"/>
              </w:rPr>
              <w:t>,</w:t>
            </w:r>
            <w:r w:rsidRPr="00DF1530">
              <w:rPr>
                <w:rFonts w:ascii="Arial" w:hAnsi="Arial" w:cs="Arial"/>
                <w:b/>
                <w:i/>
                <w:sz w:val="18"/>
                <w:szCs w:val="18"/>
                <w:lang w:val="ru-RU"/>
              </w:rPr>
              <w:t>83</w:t>
            </w:r>
          </w:p>
        </w:tc>
        <w:tc>
          <w:tcPr>
            <w:tcW w:w="1276" w:type="dxa"/>
            <w:tcBorders>
              <w:bottom w:val="single" w:sz="4" w:space="0" w:color="auto"/>
            </w:tcBorders>
            <w:shd w:val="clear" w:color="auto" w:fill="8DB3E2" w:themeFill="text2" w:themeFillTint="66"/>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100</w:t>
            </w:r>
            <w:r w:rsidR="00F736B7" w:rsidRPr="00DF1530">
              <w:rPr>
                <w:rFonts w:ascii="Arial" w:hAnsi="Arial" w:cs="Arial"/>
                <w:b/>
                <w:bCs/>
                <w:i/>
                <w:color w:val="000000"/>
                <w:sz w:val="18"/>
                <w:szCs w:val="18"/>
                <w:lang w:val="ru-RU"/>
              </w:rPr>
              <w:t>,0%</w:t>
            </w:r>
          </w:p>
        </w:tc>
        <w:tc>
          <w:tcPr>
            <w:tcW w:w="1134" w:type="dxa"/>
            <w:tcBorders>
              <w:left w:val="single" w:sz="4" w:space="0" w:color="auto"/>
              <w:bottom w:val="single" w:sz="4" w:space="0" w:color="auto"/>
            </w:tcBorders>
            <w:shd w:val="clear" w:color="auto" w:fill="8DB3E2" w:themeFill="text2" w:themeFillTint="66"/>
            <w:vAlign w:val="center"/>
          </w:tcPr>
          <w:p w:rsidR="008C7A93" w:rsidRPr="00DF1530" w:rsidRDefault="008C7A93" w:rsidP="005E53F2">
            <w:pPr>
              <w:keepNext/>
              <w:keepLines/>
              <w:jc w:val="right"/>
              <w:rPr>
                <w:rFonts w:ascii="Arial" w:hAnsi="Arial" w:cs="Arial"/>
                <w:b/>
                <w:i/>
                <w:sz w:val="18"/>
                <w:szCs w:val="18"/>
                <w:lang w:val="ru-RU"/>
              </w:rPr>
            </w:pPr>
            <w:r w:rsidRPr="00DF1530">
              <w:rPr>
                <w:rFonts w:ascii="Arial" w:hAnsi="Arial" w:cs="Arial"/>
                <w:b/>
                <w:i/>
                <w:sz w:val="18"/>
                <w:szCs w:val="18"/>
                <w:lang w:val="ru-RU"/>
              </w:rPr>
              <w:t>20</w:t>
            </w:r>
            <w:r w:rsidR="003975EE" w:rsidRPr="00DF1530">
              <w:rPr>
                <w:rFonts w:ascii="Arial" w:hAnsi="Arial" w:cs="Arial"/>
                <w:b/>
                <w:i/>
                <w:sz w:val="18"/>
                <w:szCs w:val="18"/>
                <w:lang w:val="ru-RU"/>
              </w:rPr>
              <w:t>,</w:t>
            </w:r>
            <w:r w:rsidRPr="00DF1530">
              <w:rPr>
                <w:rFonts w:ascii="Arial" w:hAnsi="Arial" w:cs="Arial"/>
                <w:b/>
                <w:i/>
                <w:sz w:val="18"/>
                <w:szCs w:val="18"/>
                <w:lang w:val="ru-RU"/>
              </w:rPr>
              <w:t>13</w:t>
            </w:r>
          </w:p>
        </w:tc>
        <w:tc>
          <w:tcPr>
            <w:tcW w:w="1559" w:type="dxa"/>
            <w:tcBorders>
              <w:bottom w:val="single" w:sz="4" w:space="0" w:color="auto"/>
              <w:right w:val="single" w:sz="4" w:space="0" w:color="auto"/>
            </w:tcBorders>
            <w:shd w:val="clear" w:color="auto" w:fill="8DB3E2" w:themeFill="text2" w:themeFillTint="66"/>
            <w:vAlign w:val="center"/>
          </w:tcPr>
          <w:p w:rsidR="008C7A93" w:rsidRPr="00DF1530" w:rsidRDefault="008C7A93" w:rsidP="005E53F2">
            <w:pPr>
              <w:keepNext/>
              <w:keepLines/>
              <w:jc w:val="right"/>
              <w:rPr>
                <w:rFonts w:ascii="Arial" w:hAnsi="Arial" w:cs="Arial"/>
                <w:b/>
                <w:bCs/>
                <w:i/>
                <w:color w:val="000000"/>
                <w:sz w:val="18"/>
                <w:szCs w:val="18"/>
                <w:lang w:val="ru-RU"/>
              </w:rPr>
            </w:pPr>
            <w:r w:rsidRPr="00DF1530">
              <w:rPr>
                <w:rFonts w:ascii="Arial" w:hAnsi="Arial" w:cs="Arial"/>
                <w:b/>
                <w:bCs/>
                <w:i/>
                <w:color w:val="000000"/>
                <w:sz w:val="18"/>
                <w:szCs w:val="18"/>
                <w:lang w:val="ru-RU"/>
              </w:rPr>
              <w:t>100</w:t>
            </w:r>
            <w:r w:rsidR="00F736B7" w:rsidRPr="00DF1530">
              <w:rPr>
                <w:rFonts w:ascii="Arial" w:hAnsi="Arial" w:cs="Arial"/>
                <w:b/>
                <w:bCs/>
                <w:i/>
                <w:color w:val="000000"/>
                <w:sz w:val="18"/>
                <w:szCs w:val="18"/>
                <w:lang w:val="ru-RU"/>
              </w:rPr>
              <w:t>,0%</w:t>
            </w:r>
          </w:p>
        </w:tc>
      </w:tr>
    </w:tbl>
    <w:p w:rsidR="008C7A93" w:rsidRPr="00DF1530" w:rsidRDefault="00635D7C" w:rsidP="00227AB0">
      <w:pPr>
        <w:spacing w:after="120"/>
        <w:rPr>
          <w:rFonts w:ascii="Arial" w:hAnsi="Arial" w:cs="Arial"/>
          <w:sz w:val="16"/>
          <w:szCs w:val="18"/>
          <w:lang w:val="ru-RU"/>
        </w:rPr>
      </w:pPr>
      <w:r w:rsidRPr="00DF1530">
        <w:rPr>
          <w:rFonts w:ascii="Arial" w:hAnsi="Arial" w:cs="Arial"/>
          <w:i/>
          <w:sz w:val="16"/>
          <w:szCs w:val="18"/>
          <w:lang w:val="ru-RU"/>
        </w:rPr>
        <w:t>Примечания:</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 xml:space="preserve">«Прочее» не указано в предоставленной </w:t>
      </w:r>
      <w:r w:rsidR="0023536F" w:rsidRPr="00DF1530">
        <w:rPr>
          <w:rFonts w:ascii="Arial" w:hAnsi="Arial" w:cs="Arial"/>
          <w:sz w:val="16"/>
          <w:szCs w:val="18"/>
          <w:lang w:val="ru-RU"/>
        </w:rPr>
        <w:t>информаци</w:t>
      </w:r>
      <w:r w:rsidR="00B31706" w:rsidRPr="00DF1530">
        <w:rPr>
          <w:rFonts w:ascii="Arial" w:hAnsi="Arial" w:cs="Arial"/>
          <w:sz w:val="16"/>
          <w:szCs w:val="18"/>
          <w:lang w:val="ru-RU"/>
        </w:rPr>
        <w:t>и,</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 xml:space="preserve">но включает поддержку </w:t>
      </w:r>
      <w:r w:rsidR="0020788F" w:rsidRPr="00DF1530">
        <w:rPr>
          <w:rFonts w:ascii="Arial" w:hAnsi="Arial" w:cs="Arial"/>
          <w:sz w:val="16"/>
          <w:szCs w:val="18"/>
          <w:lang w:val="ru-RU"/>
        </w:rPr>
        <w:t xml:space="preserve">мероприятий </w:t>
      </w:r>
      <w:r w:rsidR="00B31706" w:rsidRPr="00DF1530">
        <w:rPr>
          <w:rFonts w:ascii="Arial" w:hAnsi="Arial" w:cs="Arial"/>
          <w:sz w:val="16"/>
          <w:szCs w:val="18"/>
          <w:lang w:val="ru-RU"/>
        </w:rPr>
        <w:t xml:space="preserve">по развитию </w:t>
      </w:r>
      <w:r w:rsidR="00834072" w:rsidRPr="00DF1530">
        <w:rPr>
          <w:rFonts w:ascii="Arial" w:hAnsi="Arial" w:cs="Arial"/>
          <w:sz w:val="16"/>
          <w:szCs w:val="18"/>
          <w:lang w:val="ru-RU"/>
        </w:rPr>
        <w:t>предпринимательск</w:t>
      </w:r>
      <w:r w:rsidR="00B31706" w:rsidRPr="00DF1530">
        <w:rPr>
          <w:rFonts w:ascii="Arial" w:hAnsi="Arial" w:cs="Arial"/>
          <w:sz w:val="16"/>
          <w:szCs w:val="18"/>
          <w:lang w:val="ru-RU"/>
        </w:rPr>
        <w:t>ой</w:t>
      </w:r>
      <w:r w:rsidR="00834072" w:rsidRPr="00DF1530">
        <w:rPr>
          <w:rFonts w:ascii="Arial" w:hAnsi="Arial" w:cs="Arial"/>
          <w:sz w:val="16"/>
          <w:szCs w:val="18"/>
          <w:lang w:val="ru-RU"/>
        </w:rPr>
        <w:t xml:space="preserve"> деятельност</w:t>
      </w:r>
      <w:r w:rsidR="00B31706" w:rsidRPr="00DF1530">
        <w:rPr>
          <w:rFonts w:ascii="Arial" w:hAnsi="Arial" w:cs="Arial"/>
          <w:sz w:val="16"/>
          <w:szCs w:val="18"/>
          <w:lang w:val="ru-RU"/>
        </w:rPr>
        <w:t>и</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и разработке системы обучения персонала</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 xml:space="preserve">переобучения и повышения квалификации для сектора малых предприятий </w:t>
      </w:r>
      <w:r w:rsidR="008C7A93" w:rsidRPr="00DF1530">
        <w:rPr>
          <w:rFonts w:ascii="Arial" w:hAnsi="Arial" w:cs="Arial"/>
          <w:sz w:val="16"/>
          <w:szCs w:val="18"/>
          <w:lang w:val="ru-RU"/>
        </w:rPr>
        <w:t>(</w:t>
      </w:r>
      <w:r w:rsidR="00B31706" w:rsidRPr="00DF1530">
        <w:rPr>
          <w:rFonts w:ascii="Arial" w:hAnsi="Arial" w:cs="Arial"/>
          <w:sz w:val="16"/>
          <w:szCs w:val="18"/>
          <w:lang w:val="ru-RU"/>
        </w:rPr>
        <w:t>направления на обучение</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возмещение расходов на обучение</w:t>
      </w:r>
      <w:r w:rsidR="008C7A93" w:rsidRPr="00DF1530">
        <w:rPr>
          <w:rFonts w:ascii="Arial" w:hAnsi="Arial" w:cs="Arial"/>
          <w:sz w:val="16"/>
          <w:szCs w:val="18"/>
          <w:lang w:val="ru-RU"/>
        </w:rPr>
        <w:t>/</w:t>
      </w:r>
      <w:r w:rsidR="00B31706" w:rsidRPr="00DF1530">
        <w:rPr>
          <w:rFonts w:ascii="Arial" w:hAnsi="Arial" w:cs="Arial"/>
          <w:sz w:val="16"/>
          <w:szCs w:val="18"/>
          <w:lang w:val="ru-RU"/>
        </w:rPr>
        <w:t>переобучение</w:t>
      </w:r>
      <w:r w:rsidR="008C7A93" w:rsidRPr="00DF1530">
        <w:rPr>
          <w:rFonts w:ascii="Arial" w:hAnsi="Arial" w:cs="Arial"/>
          <w:sz w:val="16"/>
          <w:szCs w:val="18"/>
          <w:lang w:val="ru-RU"/>
        </w:rPr>
        <w:t xml:space="preserve"> </w:t>
      </w:r>
      <w:r w:rsidR="00B31706" w:rsidRPr="00DF1530">
        <w:rPr>
          <w:rFonts w:ascii="Arial" w:hAnsi="Arial" w:cs="Arial"/>
          <w:sz w:val="16"/>
          <w:szCs w:val="18"/>
          <w:lang w:val="ru-RU"/>
        </w:rPr>
        <w:t>и организация учебных мероприятий</w:t>
      </w:r>
      <w:r w:rsidR="008C7A93" w:rsidRPr="00DF1530">
        <w:rPr>
          <w:rFonts w:ascii="Arial" w:hAnsi="Arial" w:cs="Arial"/>
          <w:sz w:val="16"/>
          <w:szCs w:val="18"/>
          <w:lang w:val="ru-RU"/>
        </w:rPr>
        <w:t>).</w:t>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23536F" w:rsidRPr="00DF1530">
        <w:rPr>
          <w:lang w:val="ru-RU"/>
        </w:rPr>
        <w:t>Информация</w:t>
      </w:r>
      <w:r w:rsidR="008C7A93" w:rsidRPr="00DF1530">
        <w:rPr>
          <w:lang w:val="ru-RU"/>
        </w:rPr>
        <w:t xml:space="preserve"> </w:t>
      </w:r>
      <w:r w:rsidR="00B31706" w:rsidRPr="00DF1530">
        <w:rPr>
          <w:lang w:val="ru-RU"/>
        </w:rPr>
        <w:t>предоставлена Министерством экономического развития и торговли Российской Федерации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20788F" w:rsidRPr="00DF1530">
        <w:rPr>
          <w:lang w:val="ru-RU"/>
        </w:rPr>
        <w:t xml:space="preserve">Вызывает вопросы компонент </w:t>
      </w:r>
      <w:r w:rsidR="00BA1F08" w:rsidRPr="00DF1530">
        <w:rPr>
          <w:lang w:val="ru-RU"/>
        </w:rPr>
        <w:t>федеральн</w:t>
      </w:r>
      <w:r w:rsidR="0020788F" w:rsidRPr="00DF1530">
        <w:rPr>
          <w:lang w:val="ru-RU"/>
        </w:rPr>
        <w:t>ой</w:t>
      </w:r>
      <w:r w:rsidR="00BA1F08" w:rsidRPr="00DF1530">
        <w:rPr>
          <w:lang w:val="ru-RU"/>
        </w:rPr>
        <w:t xml:space="preserve"> программ</w:t>
      </w:r>
      <w:r w:rsidR="0020788F" w:rsidRPr="00DF1530">
        <w:rPr>
          <w:lang w:val="ru-RU"/>
        </w:rPr>
        <w:t>ы</w:t>
      </w:r>
      <w:r w:rsidR="00BA1F08" w:rsidRPr="00DF1530">
        <w:rPr>
          <w:lang w:val="ru-RU"/>
        </w:rPr>
        <w:t xml:space="preserve"> поддержки МСП</w:t>
      </w:r>
      <w:r w:rsidR="0020788F" w:rsidRPr="00DF1530">
        <w:rPr>
          <w:lang w:val="ru-RU"/>
        </w:rPr>
        <w:t>,</w:t>
      </w:r>
      <w:r w:rsidR="008C7A93" w:rsidRPr="00DF1530">
        <w:rPr>
          <w:lang w:val="ru-RU"/>
        </w:rPr>
        <w:t xml:space="preserve"> </w:t>
      </w:r>
      <w:r w:rsidR="0020788F" w:rsidRPr="00DF1530">
        <w:rPr>
          <w:lang w:val="ru-RU"/>
        </w:rPr>
        <w:t xml:space="preserve">предусматривающий субсидии на аренду и </w:t>
      </w:r>
      <w:r w:rsidR="00D450DE" w:rsidRPr="00DF1530">
        <w:rPr>
          <w:lang w:val="ru-RU"/>
        </w:rPr>
        <w:t xml:space="preserve">приобретение </w:t>
      </w:r>
      <w:r w:rsidR="00BA1F08" w:rsidRPr="00DF1530">
        <w:rPr>
          <w:lang w:val="ru-RU"/>
        </w:rPr>
        <w:t>оборудовани</w:t>
      </w:r>
      <w:r w:rsidR="0020788F" w:rsidRPr="00DF1530">
        <w:rPr>
          <w:lang w:val="ru-RU"/>
        </w:rPr>
        <w:t>я</w:t>
      </w:r>
      <w:r w:rsidR="008C7A93" w:rsidRPr="00DF1530">
        <w:rPr>
          <w:lang w:val="ru-RU"/>
        </w:rPr>
        <w:t xml:space="preserve"> </w:t>
      </w:r>
      <w:r w:rsidR="0020788F" w:rsidRPr="00DF1530">
        <w:rPr>
          <w:lang w:val="ru-RU"/>
        </w:rPr>
        <w:t>и недвижимости</w:t>
      </w:r>
      <w:r w:rsidR="008C7A93" w:rsidRPr="00DF1530">
        <w:rPr>
          <w:lang w:val="ru-RU"/>
        </w:rPr>
        <w:t xml:space="preserve">. </w:t>
      </w:r>
      <w:r w:rsidR="0020788F" w:rsidRPr="00DF1530">
        <w:rPr>
          <w:lang w:val="ru-RU"/>
        </w:rPr>
        <w:t xml:space="preserve">Эти </w:t>
      </w:r>
      <w:r w:rsidR="008D34F6" w:rsidRPr="00DF1530">
        <w:rPr>
          <w:lang w:val="ru-RU"/>
        </w:rPr>
        <w:t>субсидии</w:t>
      </w:r>
      <w:r w:rsidR="008C7A93" w:rsidRPr="00DF1530">
        <w:rPr>
          <w:lang w:val="ru-RU"/>
        </w:rPr>
        <w:t xml:space="preserve"> </w:t>
      </w:r>
      <w:r w:rsidR="0020788F" w:rsidRPr="00DF1530">
        <w:rPr>
          <w:lang w:val="ru-RU"/>
        </w:rPr>
        <w:t xml:space="preserve">помогают </w:t>
      </w:r>
      <w:r w:rsidR="00F736B7" w:rsidRPr="00DF1530">
        <w:rPr>
          <w:lang w:val="ru-RU"/>
        </w:rPr>
        <w:t>МСП</w:t>
      </w:r>
      <w:r w:rsidR="008C7A93" w:rsidRPr="00DF1530">
        <w:rPr>
          <w:lang w:val="ru-RU"/>
        </w:rPr>
        <w:t xml:space="preserve"> </w:t>
      </w:r>
      <w:r w:rsidR="0020788F" w:rsidRPr="00DF1530">
        <w:rPr>
          <w:lang w:val="ru-RU"/>
        </w:rPr>
        <w:t xml:space="preserve">повысить свою конкурентоспособность по затратам, но часто используются в качестве пассивных </w:t>
      </w:r>
      <w:r w:rsidR="008D34F6" w:rsidRPr="00DF1530">
        <w:rPr>
          <w:lang w:val="ru-RU"/>
        </w:rPr>
        <w:t>субсиди</w:t>
      </w:r>
      <w:r w:rsidR="0020788F" w:rsidRPr="00DF1530">
        <w:rPr>
          <w:lang w:val="ru-RU"/>
        </w:rPr>
        <w:t>й</w:t>
      </w:r>
      <w:r w:rsidR="008C7A93" w:rsidRPr="00DF1530">
        <w:rPr>
          <w:lang w:val="ru-RU"/>
        </w:rPr>
        <w:t xml:space="preserve"> </w:t>
      </w:r>
      <w:r w:rsidR="0020788F" w:rsidRPr="00DF1530">
        <w:rPr>
          <w:lang w:val="ru-RU"/>
        </w:rPr>
        <w:t>на текущую деятельность, а не в качестве стимулов для повышения эффективности</w:t>
      </w:r>
      <w:r w:rsidR="008C7A93" w:rsidRPr="00DF1530">
        <w:rPr>
          <w:lang w:val="ru-RU"/>
        </w:rPr>
        <w:t xml:space="preserve">, </w:t>
      </w:r>
      <w:r w:rsidR="0020788F" w:rsidRPr="00DF1530">
        <w:rPr>
          <w:lang w:val="ru-RU"/>
        </w:rPr>
        <w:t>производительности или выхода на новые рынки сбыта</w:t>
      </w:r>
      <w:r w:rsidR="008C7A93" w:rsidRPr="00DF1530">
        <w:rPr>
          <w:lang w:val="ru-RU"/>
        </w:rPr>
        <w:t xml:space="preserve">. </w:t>
      </w:r>
      <w:r w:rsidR="0020788F" w:rsidRPr="00DF1530">
        <w:rPr>
          <w:lang w:val="ru-RU"/>
        </w:rPr>
        <w:t>Во многих случаях</w:t>
      </w:r>
      <w:r w:rsidR="008C7A93" w:rsidRPr="00DF1530">
        <w:rPr>
          <w:lang w:val="ru-RU"/>
        </w:rPr>
        <w:t xml:space="preserve"> </w:t>
      </w:r>
      <w:r w:rsidR="0020788F" w:rsidRPr="00DF1530">
        <w:rPr>
          <w:lang w:val="ru-RU"/>
        </w:rPr>
        <w:t xml:space="preserve">получающие такие субсидии </w:t>
      </w:r>
      <w:r w:rsidR="00F736B7" w:rsidRPr="00DF1530">
        <w:rPr>
          <w:lang w:val="ru-RU"/>
        </w:rPr>
        <w:t>МСП</w:t>
      </w:r>
      <w:r w:rsidR="008C7A93" w:rsidRPr="00DF1530">
        <w:rPr>
          <w:lang w:val="ru-RU"/>
        </w:rPr>
        <w:t xml:space="preserve"> </w:t>
      </w:r>
      <w:r w:rsidR="0020788F" w:rsidRPr="00DF1530">
        <w:rPr>
          <w:lang w:val="ru-RU"/>
        </w:rPr>
        <w:t>выиграли бы больше от других мер поддержки, помогающих им оценить или выявить факторы своей хозяйственной деятельности, требующие улучшения</w:t>
      </w:r>
      <w:r w:rsidR="008C7A93" w:rsidRPr="00DF1530">
        <w:rPr>
          <w:lang w:val="ru-RU"/>
        </w:rPr>
        <w:t xml:space="preserve">, </w:t>
      </w:r>
      <w:r w:rsidR="0020788F" w:rsidRPr="00DF1530">
        <w:rPr>
          <w:lang w:val="ru-RU"/>
        </w:rPr>
        <w:t>в том числе относящиеся к обучению персонала</w:t>
      </w:r>
      <w:r w:rsidR="008C7A93" w:rsidRPr="00DF1530">
        <w:rPr>
          <w:lang w:val="ru-RU"/>
        </w:rPr>
        <w:t xml:space="preserve">, </w:t>
      </w:r>
      <w:r w:rsidR="0020788F" w:rsidRPr="00DF1530">
        <w:rPr>
          <w:lang w:val="ru-RU"/>
        </w:rPr>
        <w:t>организации производства</w:t>
      </w:r>
      <w:r w:rsidR="008C7A93" w:rsidRPr="00DF1530">
        <w:rPr>
          <w:lang w:val="ru-RU"/>
        </w:rPr>
        <w:t xml:space="preserve"> </w:t>
      </w:r>
      <w:r w:rsidR="0020788F" w:rsidRPr="00DF1530">
        <w:rPr>
          <w:lang w:val="ru-RU"/>
        </w:rPr>
        <w:t>или улучшению рекламных материалов</w:t>
      </w:r>
      <w:r w:rsidR="008C7A93" w:rsidRPr="00DF1530">
        <w:rPr>
          <w:lang w:val="ru-RU"/>
        </w:rPr>
        <w:t xml:space="preserve">. </w:t>
      </w:r>
      <w:r w:rsidR="0020788F" w:rsidRPr="00DF1530">
        <w:rPr>
          <w:lang w:val="ru-RU"/>
        </w:rPr>
        <w:t>Это подтверждается данными по затратам в расчете на одно рабочее место,</w:t>
      </w:r>
      <w:r w:rsidR="008C7A93" w:rsidRPr="00DF1530">
        <w:rPr>
          <w:lang w:val="ru-RU"/>
        </w:rPr>
        <w:t xml:space="preserve"> </w:t>
      </w:r>
      <w:r w:rsidR="0020788F" w:rsidRPr="00DF1530">
        <w:rPr>
          <w:lang w:val="ru-RU"/>
        </w:rPr>
        <w:t xml:space="preserve">демонстрирующими низкую экономическую эффективность </w:t>
      </w:r>
      <w:r w:rsidR="008D34F6" w:rsidRPr="00DF1530">
        <w:rPr>
          <w:lang w:val="ru-RU"/>
        </w:rPr>
        <w:t>субсиди</w:t>
      </w:r>
      <w:r w:rsidR="0020788F" w:rsidRPr="00DF1530">
        <w:rPr>
          <w:lang w:val="ru-RU"/>
        </w:rPr>
        <w:t>й на оборудование</w:t>
      </w:r>
      <w:r w:rsidR="008C7A93" w:rsidRPr="00DF1530">
        <w:rPr>
          <w:lang w:val="ru-RU"/>
        </w:rPr>
        <w:t xml:space="preserve"> </w:t>
      </w:r>
      <w:r w:rsidR="0020788F" w:rsidRPr="00DF1530">
        <w:rPr>
          <w:lang w:val="ru-RU"/>
        </w:rPr>
        <w:t>по сравнению с другими мерами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C7A93" w:rsidRPr="00DF1530">
        <w:rPr>
          <w:lang w:val="ru-RU"/>
        </w:rPr>
        <w:t xml:space="preserve"> </w:t>
      </w:r>
      <w:r w:rsidR="007379AD" w:rsidRPr="00DF1530">
        <w:rPr>
          <w:lang w:val="ru-RU"/>
        </w:rPr>
        <w:t>Таким образом</w:t>
      </w:r>
      <w:r w:rsidR="008C7A93" w:rsidRPr="00DF1530">
        <w:rPr>
          <w:lang w:val="ru-RU"/>
        </w:rPr>
        <w:t xml:space="preserve">, </w:t>
      </w:r>
      <w:r w:rsidR="007379AD" w:rsidRPr="00DF1530">
        <w:rPr>
          <w:lang w:val="ru-RU"/>
        </w:rPr>
        <w:t>предоставление грантов следует ограничить</w:t>
      </w:r>
      <w:r w:rsidR="008C7A93" w:rsidRPr="00DF1530">
        <w:rPr>
          <w:lang w:val="ru-RU"/>
        </w:rPr>
        <w:t xml:space="preserve"> </w:t>
      </w:r>
      <w:r w:rsidR="007379AD" w:rsidRPr="00DF1530">
        <w:rPr>
          <w:lang w:val="ru-RU"/>
        </w:rPr>
        <w:t xml:space="preserve">в основном компаниями, способными </w:t>
      </w:r>
      <w:r w:rsidR="00635DB1" w:rsidRPr="00DF1530">
        <w:rPr>
          <w:lang w:val="ru-RU"/>
        </w:rPr>
        <w:t xml:space="preserve">пересмотреть </w:t>
      </w:r>
      <w:r w:rsidR="007379AD" w:rsidRPr="00DF1530">
        <w:rPr>
          <w:lang w:val="ru-RU"/>
        </w:rPr>
        <w:t>практику своей работы, вместе с другими мерами поддержки</w:t>
      </w:r>
      <w:r w:rsidR="008C7A93" w:rsidRPr="00DF1530">
        <w:rPr>
          <w:lang w:val="ru-RU"/>
        </w:rPr>
        <w:t xml:space="preserve">. </w:t>
      </w:r>
      <w:r w:rsidR="00635DB1" w:rsidRPr="00DF1530">
        <w:rPr>
          <w:lang w:val="ru-RU"/>
        </w:rPr>
        <w:t xml:space="preserve">Следует отдать предпочтение другим составляющим </w:t>
      </w:r>
      <w:r w:rsidR="00EB1372" w:rsidRPr="00DF1530">
        <w:rPr>
          <w:lang w:val="ru-RU"/>
        </w:rPr>
        <w:t>федеральн</w:t>
      </w:r>
      <w:r w:rsidR="00635DB1" w:rsidRPr="00DF1530">
        <w:rPr>
          <w:lang w:val="ru-RU"/>
        </w:rPr>
        <w:t>о</w:t>
      </w:r>
      <w:r w:rsidR="00EB1372" w:rsidRPr="00DF1530">
        <w:rPr>
          <w:lang w:val="ru-RU"/>
        </w:rPr>
        <w:t>й</w:t>
      </w:r>
      <w:r w:rsidR="008C7A93" w:rsidRPr="00DF1530">
        <w:rPr>
          <w:lang w:val="ru-RU"/>
        </w:rPr>
        <w:t xml:space="preserve"> </w:t>
      </w:r>
      <w:r w:rsidR="0023536F" w:rsidRPr="00DF1530">
        <w:rPr>
          <w:lang w:val="ru-RU"/>
        </w:rPr>
        <w:t>программ</w:t>
      </w:r>
      <w:r w:rsidR="00635DB1" w:rsidRPr="00DF1530">
        <w:rPr>
          <w:lang w:val="ru-RU"/>
        </w:rPr>
        <w:t>ы</w:t>
      </w:r>
      <w:r w:rsidR="008C7A93" w:rsidRPr="00DF1530">
        <w:rPr>
          <w:lang w:val="ru-RU"/>
        </w:rPr>
        <w:t xml:space="preserve"> </w:t>
      </w:r>
      <w:r w:rsidR="00635DB1" w:rsidRPr="00DF1530">
        <w:rPr>
          <w:lang w:val="ru-RU"/>
        </w:rPr>
        <w:t>по МСП</w:t>
      </w:r>
      <w:r w:rsidR="008C7A93" w:rsidRPr="00DF1530">
        <w:rPr>
          <w:lang w:val="ru-RU"/>
        </w:rPr>
        <w:t xml:space="preserve">. </w:t>
      </w:r>
      <w:r w:rsidR="007D0114" w:rsidRPr="00DF1530">
        <w:rPr>
          <w:lang w:val="ru-RU"/>
        </w:rPr>
        <w:lastRenderedPageBreak/>
        <w:t xml:space="preserve">Кредиты и кредитные гарантии обычно обеспечивают более высокую эффективность государственных расходов, чем </w:t>
      </w:r>
      <w:r w:rsidR="008353AD" w:rsidRPr="00DF1530">
        <w:rPr>
          <w:lang w:val="ru-RU"/>
        </w:rPr>
        <w:t>гранты</w:t>
      </w:r>
      <w:r w:rsidR="008C7A93" w:rsidRPr="00DF1530">
        <w:rPr>
          <w:lang w:val="ru-RU"/>
        </w:rPr>
        <w:t xml:space="preserve">, </w:t>
      </w:r>
      <w:r w:rsidR="007D0114" w:rsidRPr="00DF1530">
        <w:rPr>
          <w:lang w:val="ru-RU"/>
        </w:rPr>
        <w:t xml:space="preserve">даже если распределяются между компаниями и </w:t>
      </w:r>
      <w:r w:rsidR="00347E3A" w:rsidRPr="00DF1530">
        <w:rPr>
          <w:lang w:val="ru-RU"/>
        </w:rPr>
        <w:t>предпринимател</w:t>
      </w:r>
      <w:r w:rsidR="007D0114" w:rsidRPr="00DF1530">
        <w:rPr>
          <w:lang w:val="ru-RU"/>
        </w:rPr>
        <w:t>ями</w:t>
      </w:r>
      <w:r w:rsidR="008C7A93" w:rsidRPr="00DF1530">
        <w:rPr>
          <w:lang w:val="ru-RU"/>
        </w:rPr>
        <w:t xml:space="preserve"> </w:t>
      </w:r>
      <w:r w:rsidR="007D0114" w:rsidRPr="00DF1530">
        <w:rPr>
          <w:lang w:val="ru-RU"/>
        </w:rPr>
        <w:t>неселективно</w:t>
      </w:r>
      <w:r w:rsidR="008C7A93" w:rsidRPr="00DF1530">
        <w:rPr>
          <w:lang w:val="ru-RU"/>
        </w:rPr>
        <w:t xml:space="preserve">, </w:t>
      </w:r>
      <w:r w:rsidR="007D0114" w:rsidRPr="00DF1530">
        <w:rPr>
          <w:lang w:val="ru-RU"/>
        </w:rPr>
        <w:t>поскольку обеспечивают обновление фондов и уравновешивают другие финансовые ресурсы</w:t>
      </w:r>
      <w:r w:rsidR="008C7A93" w:rsidRPr="00DF1530">
        <w:rPr>
          <w:lang w:val="ru-RU"/>
        </w:rPr>
        <w:t xml:space="preserve">. </w:t>
      </w:r>
      <w:r w:rsidR="007D0114" w:rsidRPr="00DF1530">
        <w:rPr>
          <w:lang w:val="ru-RU"/>
        </w:rPr>
        <w:t xml:space="preserve">Целевая поддержка, такая, как поддержка </w:t>
      </w:r>
      <w:r w:rsidR="000D542E" w:rsidRPr="00DF1530">
        <w:rPr>
          <w:lang w:val="ru-RU"/>
        </w:rPr>
        <w:t>инновационных</w:t>
      </w:r>
      <w:r w:rsidR="007D0114" w:rsidRPr="00DF1530">
        <w:rPr>
          <w:lang w:val="ru-RU"/>
        </w:rPr>
        <w:t xml:space="preserve"> и </w:t>
      </w:r>
      <w:r w:rsidR="000D542E" w:rsidRPr="00DF1530">
        <w:rPr>
          <w:lang w:val="ru-RU"/>
        </w:rPr>
        <w:t>экспортно-ориентированн</w:t>
      </w:r>
      <w:r w:rsidR="007D0114" w:rsidRPr="00DF1530">
        <w:rPr>
          <w:lang w:val="ru-RU"/>
        </w:rPr>
        <w:t xml:space="preserve">ых </w:t>
      </w:r>
      <w:r w:rsidR="00F736B7" w:rsidRPr="00DF1530">
        <w:rPr>
          <w:lang w:val="ru-RU"/>
        </w:rPr>
        <w:t>МСП</w:t>
      </w:r>
      <w:r w:rsidR="007D0114" w:rsidRPr="00DF1530">
        <w:rPr>
          <w:lang w:val="ru-RU"/>
        </w:rPr>
        <w:t>,</w:t>
      </w:r>
      <w:r w:rsidR="008C7A93" w:rsidRPr="00DF1530">
        <w:rPr>
          <w:lang w:val="ru-RU"/>
        </w:rPr>
        <w:t xml:space="preserve"> </w:t>
      </w:r>
      <w:r w:rsidR="00592D7B" w:rsidRPr="00DF1530">
        <w:rPr>
          <w:lang w:val="ru-RU"/>
        </w:rPr>
        <w:t>также</w:t>
      </w:r>
      <w:r w:rsidR="008C7A93" w:rsidRPr="00DF1530">
        <w:rPr>
          <w:lang w:val="ru-RU"/>
        </w:rPr>
        <w:t xml:space="preserve"> </w:t>
      </w:r>
      <w:r w:rsidR="007D0114" w:rsidRPr="00DF1530">
        <w:rPr>
          <w:lang w:val="ru-RU"/>
        </w:rPr>
        <w:t>обычно более эффективна, поскольку предоставляется тем типам предприятий, которые наиболее подвержены сбоям рыночных механизмов и влиянию на экономическое развитие</w:t>
      </w:r>
      <w:r w:rsidR="008C7A93" w:rsidRPr="00DF1530">
        <w:rPr>
          <w:lang w:val="ru-RU"/>
        </w:rPr>
        <w:t xml:space="preserve">. </w:t>
      </w:r>
      <w:r w:rsidR="007D0114" w:rsidRPr="00DF1530">
        <w:rPr>
          <w:lang w:val="ru-RU"/>
        </w:rPr>
        <w:t>Наконец</w:t>
      </w:r>
      <w:r w:rsidR="008C7A93" w:rsidRPr="00DF1530">
        <w:rPr>
          <w:lang w:val="ru-RU"/>
        </w:rPr>
        <w:t xml:space="preserve">, </w:t>
      </w:r>
      <w:r w:rsidR="007D0114" w:rsidRPr="00DF1530">
        <w:rPr>
          <w:lang w:val="ru-RU"/>
        </w:rPr>
        <w:t xml:space="preserve">инвестиции в инфраструктуру услуг для развития предприятий важны для изменения управленческих способностей и стратегий </w:t>
      </w:r>
      <w:r w:rsidR="00F736B7" w:rsidRPr="00DF1530">
        <w:rPr>
          <w:lang w:val="ru-RU"/>
        </w:rPr>
        <w:t>МСП</w:t>
      </w:r>
      <w:r w:rsidR="008C7A93" w:rsidRPr="00DF1530">
        <w:rPr>
          <w:lang w:val="ru-RU"/>
        </w:rPr>
        <w:t xml:space="preserve">. </w:t>
      </w:r>
    </w:p>
    <w:p w:rsidR="008C7A93" w:rsidRPr="00DF1530" w:rsidRDefault="007D0114" w:rsidP="008C7A93">
      <w:pPr>
        <w:pStyle w:val="31"/>
        <w:rPr>
          <w:lang w:val="ru-RU"/>
        </w:rPr>
      </w:pPr>
      <w:r w:rsidRPr="00DF1530">
        <w:rPr>
          <w:lang w:val="ru-RU"/>
        </w:rPr>
        <w:t xml:space="preserve">Основные </w:t>
      </w:r>
      <w:r w:rsidR="005E53F2" w:rsidRPr="00DF1530">
        <w:rPr>
          <w:lang w:val="ru-RU"/>
        </w:rPr>
        <w:t>рекомендации</w:t>
      </w:r>
      <w:r w:rsidR="008C7A93" w:rsidRPr="00DF1530">
        <w:rPr>
          <w:lang w:val="ru-RU"/>
        </w:rPr>
        <w:t xml:space="preserve"> </w:t>
      </w:r>
      <w:r w:rsidRPr="00DF1530">
        <w:rPr>
          <w:lang w:val="ru-RU"/>
        </w:rPr>
        <w:t xml:space="preserve">в области политики по </w:t>
      </w:r>
      <w:r w:rsidR="009A2209" w:rsidRPr="00DF1530">
        <w:rPr>
          <w:lang w:val="ru-RU"/>
        </w:rPr>
        <w:t>стратегически</w:t>
      </w:r>
      <w:r w:rsidRPr="00DF1530">
        <w:rPr>
          <w:lang w:val="ru-RU"/>
        </w:rPr>
        <w:t>м</w:t>
      </w:r>
      <w:r w:rsidR="008C7A93" w:rsidRPr="00DF1530">
        <w:rPr>
          <w:lang w:val="ru-RU"/>
        </w:rPr>
        <w:t xml:space="preserve"> </w:t>
      </w:r>
      <w:r w:rsidRPr="00DF1530">
        <w:rPr>
          <w:lang w:val="ru-RU"/>
        </w:rPr>
        <w:t xml:space="preserve">принципам и организации </w:t>
      </w:r>
      <w:r w:rsidR="009344E9" w:rsidRPr="00DF1530">
        <w:rPr>
          <w:lang w:val="ru-RU"/>
        </w:rPr>
        <w:t xml:space="preserve">реализации </w:t>
      </w:r>
      <w:r w:rsidRPr="00DF1530">
        <w:rPr>
          <w:lang w:val="ru-RU"/>
        </w:rPr>
        <w:t>политики</w:t>
      </w:r>
    </w:p>
    <w:p w:rsidR="008C7A93" w:rsidRPr="00DF1530" w:rsidRDefault="00F06E84" w:rsidP="008C7A93">
      <w:pPr>
        <w:pStyle w:val="a"/>
        <w:rPr>
          <w:lang w:val="ru-RU"/>
        </w:rPr>
      </w:pPr>
      <w:r w:rsidRPr="00DF1530">
        <w:rPr>
          <w:lang w:val="ru-RU"/>
        </w:rPr>
        <w:t xml:space="preserve">Посредством скоординированного механизма консультаций между государственными органами и частным бизнесом разработать интегрированный отдельный среднесрочный </w:t>
      </w:r>
      <w:r w:rsidR="009A2209" w:rsidRPr="00DF1530">
        <w:rPr>
          <w:lang w:val="ru-RU"/>
        </w:rPr>
        <w:t>стратегический</w:t>
      </w:r>
      <w:r w:rsidR="008C7A93" w:rsidRPr="00DF1530">
        <w:rPr>
          <w:lang w:val="ru-RU"/>
        </w:rPr>
        <w:t xml:space="preserve"> </w:t>
      </w:r>
      <w:r w:rsidRPr="00DF1530">
        <w:rPr>
          <w:lang w:val="ru-RU"/>
        </w:rPr>
        <w:t xml:space="preserve">генеральный план развития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Pr="00DF1530">
        <w:rPr>
          <w:lang w:val="ru-RU"/>
        </w:rPr>
        <w:t>с описанием представления</w:t>
      </w:r>
      <w:r w:rsidR="008C7A93" w:rsidRPr="00DF1530">
        <w:rPr>
          <w:lang w:val="ru-RU"/>
        </w:rPr>
        <w:t xml:space="preserve">, </w:t>
      </w:r>
      <w:r w:rsidRPr="00DF1530">
        <w:rPr>
          <w:lang w:val="ru-RU"/>
        </w:rPr>
        <w:t>задач</w:t>
      </w:r>
      <w:r w:rsidR="008C7A93" w:rsidRPr="00DF1530">
        <w:rPr>
          <w:lang w:val="ru-RU"/>
        </w:rPr>
        <w:t xml:space="preserve">, </w:t>
      </w:r>
      <w:r w:rsidRPr="00DF1530">
        <w:rPr>
          <w:lang w:val="ru-RU"/>
        </w:rPr>
        <w:t>целей</w:t>
      </w:r>
      <w:r w:rsidR="008C7A93" w:rsidRPr="00DF1530">
        <w:rPr>
          <w:lang w:val="ru-RU"/>
        </w:rPr>
        <w:t xml:space="preserve"> </w:t>
      </w:r>
      <w:r w:rsidRPr="00DF1530">
        <w:rPr>
          <w:lang w:val="ru-RU"/>
        </w:rPr>
        <w:t xml:space="preserve">и основных мотивов </w:t>
      </w:r>
      <w:r w:rsidR="00CD71D1" w:rsidRPr="00DF1530">
        <w:rPr>
          <w:lang w:val="ru-RU"/>
        </w:rPr>
        <w:t>правительств</w:t>
      </w:r>
      <w:r w:rsidRPr="00DF1530">
        <w:rPr>
          <w:lang w:val="ru-RU"/>
        </w:rPr>
        <w:t>енной политики,</w:t>
      </w:r>
      <w:r w:rsidR="008C7A93" w:rsidRPr="00DF1530">
        <w:rPr>
          <w:lang w:val="ru-RU"/>
        </w:rPr>
        <w:t xml:space="preserve"> </w:t>
      </w:r>
      <w:r w:rsidRPr="00DF1530">
        <w:rPr>
          <w:lang w:val="ru-RU"/>
        </w:rPr>
        <w:t xml:space="preserve">который будет служить руководством и средством координации для всех </w:t>
      </w:r>
      <w:r w:rsidR="00F57F57" w:rsidRPr="00DF1530">
        <w:rPr>
          <w:lang w:val="ru-RU"/>
        </w:rPr>
        <w:t>соответствующи</w:t>
      </w:r>
      <w:r w:rsidRPr="00DF1530">
        <w:rPr>
          <w:lang w:val="ru-RU"/>
        </w:rPr>
        <w:t>х</w:t>
      </w:r>
      <w:r w:rsidR="008C7A93" w:rsidRPr="00DF1530">
        <w:rPr>
          <w:lang w:val="ru-RU"/>
        </w:rPr>
        <w:t xml:space="preserve"> </w:t>
      </w:r>
      <w:r w:rsidR="00EB1372" w:rsidRPr="00DF1530">
        <w:rPr>
          <w:lang w:val="ru-RU"/>
        </w:rPr>
        <w:t>федеральны</w:t>
      </w:r>
      <w:r w:rsidRPr="00DF1530">
        <w:rPr>
          <w:lang w:val="ru-RU"/>
        </w:rPr>
        <w:t>х</w:t>
      </w:r>
      <w:r w:rsidR="008C7A93" w:rsidRPr="00DF1530">
        <w:rPr>
          <w:lang w:val="ru-RU"/>
        </w:rPr>
        <w:t xml:space="preserve">, </w:t>
      </w:r>
      <w:r w:rsidRPr="00DF1530">
        <w:rPr>
          <w:lang w:val="ru-RU"/>
        </w:rPr>
        <w:t xml:space="preserve">региональных и муниципальных </w:t>
      </w:r>
      <w:r w:rsidR="005C14C7" w:rsidRPr="00DF1530">
        <w:rPr>
          <w:lang w:val="ru-RU"/>
        </w:rPr>
        <w:t>министерств и ведомств</w:t>
      </w:r>
      <w:r w:rsidR="008C7A93" w:rsidRPr="00DF1530">
        <w:rPr>
          <w:lang w:val="ru-RU"/>
        </w:rPr>
        <w:t xml:space="preserve">. </w:t>
      </w:r>
    </w:p>
    <w:p w:rsidR="008C7A93" w:rsidRPr="00DF1530" w:rsidRDefault="00964AC1" w:rsidP="008C7A93">
      <w:pPr>
        <w:pStyle w:val="a"/>
        <w:rPr>
          <w:lang w:val="ru-RU"/>
        </w:rPr>
      </w:pPr>
      <w:r w:rsidRPr="00DF1530">
        <w:rPr>
          <w:lang w:val="ru-RU"/>
        </w:rPr>
        <w:t xml:space="preserve">Основываясь на этом </w:t>
      </w:r>
      <w:r w:rsidR="00F06E84" w:rsidRPr="00DF1530">
        <w:rPr>
          <w:lang w:val="ru-RU"/>
        </w:rPr>
        <w:t>генеральн</w:t>
      </w:r>
      <w:r w:rsidRPr="00DF1530">
        <w:rPr>
          <w:lang w:val="ru-RU"/>
        </w:rPr>
        <w:t>ом</w:t>
      </w:r>
      <w:r w:rsidR="00F06E84" w:rsidRPr="00DF1530">
        <w:rPr>
          <w:lang w:val="ru-RU"/>
        </w:rPr>
        <w:t xml:space="preserve"> план</w:t>
      </w:r>
      <w:r w:rsidRPr="00DF1530">
        <w:rPr>
          <w:lang w:val="ru-RU"/>
        </w:rPr>
        <w:t>е</w:t>
      </w:r>
      <w:r w:rsidR="008C7A93" w:rsidRPr="00DF1530">
        <w:rPr>
          <w:lang w:val="ru-RU"/>
        </w:rPr>
        <w:t xml:space="preserve">, </w:t>
      </w:r>
      <w:r w:rsidRPr="00DF1530">
        <w:rPr>
          <w:lang w:val="ru-RU"/>
        </w:rPr>
        <w:t xml:space="preserve">реализовать </w:t>
      </w:r>
      <w:r w:rsidR="00EB1372" w:rsidRPr="00DF1530">
        <w:rPr>
          <w:lang w:val="ru-RU"/>
        </w:rPr>
        <w:t>механизм</w:t>
      </w:r>
      <w:r w:rsidR="008C7A93" w:rsidRPr="00DF1530">
        <w:rPr>
          <w:lang w:val="ru-RU"/>
        </w:rPr>
        <w:t xml:space="preserve"> </w:t>
      </w:r>
      <w:r w:rsidR="009E463C" w:rsidRPr="00DF1530">
        <w:rPr>
          <w:lang w:val="ru-RU"/>
        </w:rPr>
        <w:t xml:space="preserve">разработки годичных рабочих планов развития МСП и предпринимательской деятельности, </w:t>
      </w:r>
      <w:r w:rsidR="0048710C" w:rsidRPr="00DF1530">
        <w:rPr>
          <w:lang w:val="ru-RU"/>
        </w:rPr>
        <w:t xml:space="preserve">объединяющих </w:t>
      </w:r>
      <w:r w:rsidR="00B24BE5" w:rsidRPr="00DF1530">
        <w:rPr>
          <w:lang w:val="ru-RU"/>
        </w:rPr>
        <w:t xml:space="preserve">усилия </w:t>
      </w:r>
      <w:r w:rsidR="00F57F57" w:rsidRPr="00DF1530">
        <w:rPr>
          <w:lang w:val="ru-RU"/>
        </w:rPr>
        <w:t>соответствующи</w:t>
      </w:r>
      <w:r w:rsidR="0048710C" w:rsidRPr="00DF1530">
        <w:rPr>
          <w:lang w:val="ru-RU"/>
        </w:rPr>
        <w:t>х</w:t>
      </w:r>
      <w:r w:rsidR="008C7A93" w:rsidRPr="00DF1530">
        <w:rPr>
          <w:lang w:val="ru-RU"/>
        </w:rPr>
        <w:t xml:space="preserve"> </w:t>
      </w:r>
      <w:r w:rsidR="00EB1372" w:rsidRPr="00DF1530">
        <w:rPr>
          <w:lang w:val="ru-RU"/>
        </w:rPr>
        <w:t>федеральны</w:t>
      </w:r>
      <w:r w:rsidR="0048710C" w:rsidRPr="00DF1530">
        <w:rPr>
          <w:lang w:val="ru-RU"/>
        </w:rPr>
        <w:t>х</w:t>
      </w:r>
      <w:r w:rsidR="008C7A93" w:rsidRPr="00DF1530">
        <w:rPr>
          <w:lang w:val="ru-RU"/>
        </w:rPr>
        <w:t xml:space="preserve"> </w:t>
      </w:r>
      <w:r w:rsidR="005C14C7" w:rsidRPr="00DF1530">
        <w:rPr>
          <w:lang w:val="ru-RU"/>
        </w:rPr>
        <w:t>министерств и ведомств</w:t>
      </w:r>
      <w:r w:rsidR="008C7A93" w:rsidRPr="00DF1530">
        <w:rPr>
          <w:lang w:val="ru-RU"/>
        </w:rPr>
        <w:t xml:space="preserve">. </w:t>
      </w:r>
      <w:r w:rsidR="0048710C" w:rsidRPr="00DF1530">
        <w:rPr>
          <w:lang w:val="ru-RU"/>
        </w:rPr>
        <w:t>Эти рабочие планы</w:t>
      </w:r>
      <w:r w:rsidR="008C7A93" w:rsidRPr="00DF1530">
        <w:rPr>
          <w:lang w:val="ru-RU"/>
        </w:rPr>
        <w:t xml:space="preserve"> </w:t>
      </w:r>
      <w:r w:rsidR="0048710C" w:rsidRPr="00DF1530">
        <w:rPr>
          <w:lang w:val="ru-RU"/>
        </w:rPr>
        <w:t xml:space="preserve">должны показывать, каким образом различные меры поддержат </w:t>
      </w:r>
      <w:r w:rsidR="00BA1F08" w:rsidRPr="00DF1530">
        <w:rPr>
          <w:lang w:val="ru-RU"/>
        </w:rPr>
        <w:t>МСП и предпринимател</w:t>
      </w:r>
      <w:r w:rsidR="0048710C" w:rsidRPr="00DF1530">
        <w:rPr>
          <w:lang w:val="ru-RU"/>
        </w:rPr>
        <w:t>ей</w:t>
      </w:r>
      <w:r w:rsidR="008C7A93" w:rsidRPr="00DF1530">
        <w:rPr>
          <w:lang w:val="ru-RU"/>
        </w:rPr>
        <w:t xml:space="preserve"> </w:t>
      </w:r>
      <w:r w:rsidR="0048710C" w:rsidRPr="00DF1530">
        <w:rPr>
          <w:lang w:val="ru-RU"/>
        </w:rPr>
        <w:t xml:space="preserve">на разных этапах их развития </w:t>
      </w:r>
      <w:r w:rsidR="008C7A93" w:rsidRPr="00DF1530">
        <w:rPr>
          <w:lang w:val="ru-RU"/>
        </w:rPr>
        <w:t>(</w:t>
      </w:r>
      <w:r w:rsidR="0048710C" w:rsidRPr="00DF1530">
        <w:rPr>
          <w:lang w:val="ru-RU"/>
        </w:rPr>
        <w:t>находящиеся в процессе образования</w:t>
      </w:r>
      <w:r w:rsidR="008C7A93" w:rsidRPr="00DF1530">
        <w:rPr>
          <w:lang w:val="ru-RU"/>
        </w:rPr>
        <w:t xml:space="preserve">, </w:t>
      </w:r>
      <w:r w:rsidR="0048710C" w:rsidRPr="00DF1530">
        <w:rPr>
          <w:lang w:val="ru-RU"/>
        </w:rPr>
        <w:t>создаваемые</w:t>
      </w:r>
      <w:r w:rsidR="008C7A93" w:rsidRPr="00DF1530">
        <w:rPr>
          <w:lang w:val="ru-RU"/>
        </w:rPr>
        <w:t xml:space="preserve">, </w:t>
      </w:r>
      <w:r w:rsidR="0048710C" w:rsidRPr="00DF1530">
        <w:rPr>
          <w:lang w:val="ru-RU"/>
        </w:rPr>
        <w:t>растущие</w:t>
      </w:r>
      <w:r w:rsidR="008C7A93" w:rsidRPr="00DF1530">
        <w:rPr>
          <w:lang w:val="ru-RU"/>
        </w:rPr>
        <w:t xml:space="preserve">, </w:t>
      </w:r>
      <w:r w:rsidR="0048710C" w:rsidRPr="00DF1530">
        <w:rPr>
          <w:lang w:val="ru-RU"/>
        </w:rPr>
        <w:t>реорганизуемые</w:t>
      </w:r>
      <w:r w:rsidR="00195130" w:rsidRPr="00DF1530">
        <w:rPr>
          <w:lang w:val="ru-RU"/>
        </w:rPr>
        <w:t xml:space="preserve"> предприятия</w:t>
      </w:r>
      <w:r w:rsidR="008C7A93" w:rsidRPr="00DF1530">
        <w:rPr>
          <w:lang w:val="ru-RU"/>
        </w:rPr>
        <w:t>)</w:t>
      </w:r>
      <w:r w:rsidR="0048710C" w:rsidRPr="00DF1530">
        <w:rPr>
          <w:lang w:val="ru-RU"/>
        </w:rPr>
        <w:t>,</w:t>
      </w:r>
      <w:r w:rsidR="008C7A93" w:rsidRPr="00DF1530">
        <w:rPr>
          <w:lang w:val="ru-RU"/>
        </w:rPr>
        <w:t xml:space="preserve"> </w:t>
      </w:r>
      <w:r w:rsidR="0048710C" w:rsidRPr="00DF1530">
        <w:rPr>
          <w:lang w:val="ru-RU"/>
        </w:rPr>
        <w:t>и выделять поддержку, на</w:t>
      </w:r>
      <w:r w:rsidR="00B24BE5" w:rsidRPr="00DF1530">
        <w:rPr>
          <w:lang w:val="ru-RU"/>
        </w:rPr>
        <w:t xml:space="preserve">целенную </w:t>
      </w:r>
      <w:r w:rsidR="0048710C" w:rsidRPr="00DF1530">
        <w:rPr>
          <w:lang w:val="ru-RU"/>
        </w:rPr>
        <w:t xml:space="preserve">специально на инновационную и быстро развивающуюся </w:t>
      </w:r>
      <w:r w:rsidR="00834072" w:rsidRPr="00DF1530">
        <w:rPr>
          <w:lang w:val="ru-RU"/>
        </w:rPr>
        <w:t>предпринимательск</w:t>
      </w:r>
      <w:r w:rsidR="0048710C" w:rsidRPr="00DF1530">
        <w:rPr>
          <w:lang w:val="ru-RU"/>
        </w:rPr>
        <w:t>ую</w:t>
      </w:r>
      <w:r w:rsidR="00834072" w:rsidRPr="00DF1530">
        <w:rPr>
          <w:lang w:val="ru-RU"/>
        </w:rPr>
        <w:t xml:space="preserve"> деятельность</w:t>
      </w:r>
      <w:r w:rsidR="008C7A93" w:rsidRPr="00DF1530">
        <w:rPr>
          <w:lang w:val="ru-RU"/>
        </w:rPr>
        <w:t xml:space="preserve">. </w:t>
      </w:r>
    </w:p>
    <w:p w:rsidR="008C7A93" w:rsidRPr="00DF1530" w:rsidRDefault="00B24BE5" w:rsidP="008C7A93">
      <w:pPr>
        <w:pStyle w:val="a"/>
        <w:rPr>
          <w:lang w:val="ru-RU"/>
        </w:rPr>
      </w:pPr>
      <w:r w:rsidRPr="00DF1530">
        <w:rPr>
          <w:lang w:val="ru-RU"/>
        </w:rPr>
        <w:t xml:space="preserve">Реализовать формальную систему оценки влияния мер в области </w:t>
      </w:r>
      <w:r w:rsidR="00EB1372" w:rsidRPr="00DF1530">
        <w:rPr>
          <w:lang w:val="ru-RU"/>
        </w:rPr>
        <w:t>политики по МСП и предпринимательской деятельности</w:t>
      </w:r>
      <w:r w:rsidR="008C7A93" w:rsidRPr="00DF1530">
        <w:rPr>
          <w:lang w:val="ru-RU"/>
        </w:rPr>
        <w:t xml:space="preserve">. </w:t>
      </w:r>
      <w:r w:rsidRPr="00DF1530">
        <w:rPr>
          <w:lang w:val="ru-RU"/>
        </w:rPr>
        <w:t xml:space="preserve">В этой системе оценки должны определяться первичные и вторичные цели каждой </w:t>
      </w:r>
      <w:r w:rsidR="0023536F" w:rsidRPr="00DF1530">
        <w:rPr>
          <w:lang w:val="ru-RU"/>
        </w:rPr>
        <w:t>программ</w:t>
      </w:r>
      <w:r w:rsidRPr="00DF1530">
        <w:rPr>
          <w:lang w:val="ru-RU"/>
        </w:rPr>
        <w:t>ной меры</w:t>
      </w:r>
      <w:r w:rsidR="008C7A93" w:rsidRPr="00DF1530">
        <w:rPr>
          <w:lang w:val="ru-RU"/>
        </w:rPr>
        <w:t xml:space="preserve"> </w:t>
      </w:r>
      <w:r w:rsidRPr="00DF1530">
        <w:rPr>
          <w:lang w:val="ru-RU"/>
        </w:rPr>
        <w:t>в качестве основы для определения степени достижения целей</w:t>
      </w:r>
      <w:r w:rsidR="008C7A93" w:rsidRPr="00DF1530">
        <w:rPr>
          <w:lang w:val="ru-RU"/>
        </w:rPr>
        <w:t xml:space="preserve">. </w:t>
      </w:r>
      <w:r w:rsidRPr="00DF1530">
        <w:rPr>
          <w:lang w:val="ru-RU"/>
        </w:rPr>
        <w:t>В ней должны быть предусмотрены надежные методологии оценки влияния каждой программной меры</w:t>
      </w:r>
      <w:r w:rsidR="008C7A93" w:rsidRPr="00DF1530">
        <w:rPr>
          <w:lang w:val="ru-RU"/>
        </w:rPr>
        <w:t xml:space="preserve">, </w:t>
      </w:r>
      <w:r w:rsidR="00297F6F" w:rsidRPr="00DF1530">
        <w:rPr>
          <w:lang w:val="ru-RU"/>
        </w:rPr>
        <w:t>включая</w:t>
      </w:r>
      <w:r w:rsidR="008C7A93" w:rsidRPr="00DF1530">
        <w:rPr>
          <w:lang w:val="ru-RU"/>
        </w:rPr>
        <w:t xml:space="preserve"> </w:t>
      </w:r>
      <w:r w:rsidR="0087225E" w:rsidRPr="00DF1530">
        <w:rPr>
          <w:lang w:val="ru-RU"/>
        </w:rPr>
        <w:t>использование</w:t>
      </w:r>
      <w:r w:rsidR="008C7A93" w:rsidRPr="00DF1530">
        <w:rPr>
          <w:lang w:val="ru-RU"/>
        </w:rPr>
        <w:t xml:space="preserve"> </w:t>
      </w:r>
      <w:r w:rsidRPr="00DF1530">
        <w:rPr>
          <w:lang w:val="ru-RU"/>
        </w:rPr>
        <w:t xml:space="preserve">исследований с контрольной группой для сопоставления </w:t>
      </w:r>
      <w:r w:rsidR="00834072" w:rsidRPr="00DF1530">
        <w:rPr>
          <w:lang w:val="ru-RU"/>
        </w:rPr>
        <w:t>предприяти</w:t>
      </w:r>
      <w:r w:rsidRPr="00DF1530">
        <w:rPr>
          <w:lang w:val="ru-RU"/>
        </w:rPr>
        <w:t>й, получающих и не получающих поддержку</w:t>
      </w:r>
      <w:r w:rsidR="008C7A93" w:rsidRPr="00DF1530">
        <w:rPr>
          <w:lang w:val="ru-RU"/>
        </w:rPr>
        <w:t xml:space="preserve">. </w:t>
      </w:r>
      <w:r w:rsidRPr="00DF1530">
        <w:rPr>
          <w:lang w:val="ru-RU"/>
        </w:rPr>
        <w:t xml:space="preserve">Она должна также включать методики использования результатов оценки для разработки более эффективных </w:t>
      </w:r>
      <w:r w:rsidR="0023536F" w:rsidRPr="00DF1530">
        <w:rPr>
          <w:lang w:val="ru-RU"/>
        </w:rPr>
        <w:t>программ</w:t>
      </w:r>
      <w:r w:rsidR="008C7A93" w:rsidRPr="00DF1530">
        <w:rPr>
          <w:lang w:val="ru-RU"/>
        </w:rPr>
        <w:t xml:space="preserve"> </w:t>
      </w:r>
      <w:r w:rsidRPr="00DF1530">
        <w:rPr>
          <w:lang w:val="ru-RU"/>
        </w:rPr>
        <w:t xml:space="preserve">и институциональных </w:t>
      </w:r>
      <w:r w:rsidR="00EB1372" w:rsidRPr="00DF1530">
        <w:rPr>
          <w:lang w:val="ru-RU"/>
        </w:rPr>
        <w:t>механизм</w:t>
      </w:r>
      <w:r w:rsidRPr="00DF1530">
        <w:rPr>
          <w:lang w:val="ru-RU"/>
        </w:rPr>
        <w:t xml:space="preserve">ов </w:t>
      </w:r>
      <w:r w:rsidR="009344E9" w:rsidRPr="00DF1530">
        <w:rPr>
          <w:lang w:val="ru-RU"/>
        </w:rPr>
        <w:t>реализации</w:t>
      </w:r>
      <w:r w:rsidR="008C7A93" w:rsidRPr="00DF1530">
        <w:rPr>
          <w:lang w:val="ru-RU"/>
        </w:rPr>
        <w:t xml:space="preserve">. </w:t>
      </w:r>
    </w:p>
    <w:p w:rsidR="008C7A93" w:rsidRPr="00DF1530" w:rsidRDefault="002619CA" w:rsidP="008C7A93">
      <w:pPr>
        <w:pStyle w:val="a"/>
        <w:keepNext/>
        <w:keepLines/>
        <w:rPr>
          <w:lang w:val="ru-RU"/>
        </w:rPr>
      </w:pPr>
      <w:r w:rsidRPr="00DF1530">
        <w:rPr>
          <w:lang w:val="ru-RU"/>
        </w:rPr>
        <w:lastRenderedPageBreak/>
        <w:t xml:space="preserve">Изменить баланс портфеля политики для снижения удельного веса нецелевых </w:t>
      </w:r>
      <w:r w:rsidR="008353AD" w:rsidRPr="00DF1530">
        <w:rPr>
          <w:lang w:val="ru-RU"/>
        </w:rPr>
        <w:t>грант</w:t>
      </w:r>
      <w:r w:rsidRPr="00DF1530">
        <w:rPr>
          <w:lang w:val="ru-RU"/>
        </w:rPr>
        <w:t>ов</w:t>
      </w:r>
      <w:r w:rsidR="008C7A93" w:rsidRPr="00DF1530">
        <w:rPr>
          <w:lang w:val="ru-RU"/>
        </w:rPr>
        <w:t xml:space="preserve"> </w:t>
      </w:r>
      <w:r w:rsidRPr="00DF1530">
        <w:rPr>
          <w:lang w:val="ru-RU"/>
        </w:rPr>
        <w:t xml:space="preserve">в пользу более целевых </w:t>
      </w:r>
      <w:r w:rsidR="008D34F6" w:rsidRPr="00DF1530">
        <w:rPr>
          <w:lang w:val="ru-RU"/>
        </w:rPr>
        <w:t>субсиди</w:t>
      </w:r>
      <w:r w:rsidRPr="00DF1530">
        <w:rPr>
          <w:lang w:val="ru-RU"/>
        </w:rPr>
        <w:t>й</w:t>
      </w:r>
      <w:r w:rsidR="008C7A93" w:rsidRPr="00DF1530">
        <w:rPr>
          <w:lang w:val="ru-RU"/>
        </w:rPr>
        <w:t xml:space="preserve"> </w:t>
      </w:r>
      <w:r w:rsidRPr="00DF1530">
        <w:rPr>
          <w:lang w:val="ru-RU"/>
        </w:rPr>
        <w:t>для вновь создаваемых предприятий с высоким потенциалом</w:t>
      </w:r>
      <w:r w:rsidR="008C7A93" w:rsidRPr="00DF1530">
        <w:rPr>
          <w:lang w:val="ru-RU"/>
        </w:rPr>
        <w:t xml:space="preserve">, </w:t>
      </w:r>
      <w:r w:rsidR="00D3769A" w:rsidRPr="00DF1530">
        <w:rPr>
          <w:lang w:val="ru-RU"/>
        </w:rPr>
        <w:t>инноваци</w:t>
      </w:r>
      <w:r w:rsidRPr="00DF1530">
        <w:rPr>
          <w:lang w:val="ru-RU"/>
        </w:rPr>
        <w:t>онных</w:t>
      </w:r>
      <w:r w:rsidR="008C7A93" w:rsidRPr="00DF1530">
        <w:rPr>
          <w:lang w:val="ru-RU"/>
        </w:rPr>
        <w:t xml:space="preserve"> </w:t>
      </w:r>
      <w:r w:rsidRPr="00DF1530">
        <w:rPr>
          <w:lang w:val="ru-RU"/>
        </w:rPr>
        <w:t xml:space="preserve">МСП и </w:t>
      </w:r>
      <w:r w:rsidR="000D542E" w:rsidRPr="00DF1530">
        <w:rPr>
          <w:lang w:val="ru-RU"/>
        </w:rPr>
        <w:t>экспортно-ориентированн</w:t>
      </w:r>
      <w:r w:rsidRPr="00DF1530">
        <w:rPr>
          <w:lang w:val="ru-RU"/>
        </w:rPr>
        <w:t xml:space="preserve">ых </w:t>
      </w:r>
      <w:r w:rsidR="00834072" w:rsidRPr="00DF1530">
        <w:rPr>
          <w:lang w:val="ru-RU"/>
        </w:rPr>
        <w:t>МСП</w:t>
      </w:r>
      <w:r w:rsidR="008C7A93" w:rsidRPr="00DF1530">
        <w:rPr>
          <w:lang w:val="ru-RU"/>
        </w:rPr>
        <w:t xml:space="preserve">, </w:t>
      </w:r>
      <w:r w:rsidR="00B05893" w:rsidRPr="00DF1530">
        <w:rPr>
          <w:lang w:val="ru-RU"/>
        </w:rPr>
        <w:t>кредитов и кредитных гарантий, а также расширенных услуг по анализу хозяйственной деятельности</w:t>
      </w:r>
      <w:r w:rsidR="008C7A93" w:rsidRPr="00DF1530">
        <w:rPr>
          <w:lang w:val="ru-RU"/>
        </w:rPr>
        <w:t xml:space="preserve">, </w:t>
      </w:r>
      <w:r w:rsidR="00B05893" w:rsidRPr="00DF1530">
        <w:rPr>
          <w:lang w:val="ru-RU"/>
        </w:rPr>
        <w:t>консультациям</w:t>
      </w:r>
      <w:r w:rsidR="008C7A93" w:rsidRPr="00DF1530">
        <w:rPr>
          <w:lang w:val="ru-RU"/>
        </w:rPr>
        <w:t xml:space="preserve">, </w:t>
      </w:r>
      <w:r w:rsidR="00B05893" w:rsidRPr="00DF1530">
        <w:rPr>
          <w:lang w:val="ru-RU"/>
        </w:rPr>
        <w:t>консультативной деятельности и обучению</w:t>
      </w:r>
      <w:r w:rsidR="008C7A93" w:rsidRPr="00DF1530">
        <w:rPr>
          <w:lang w:val="ru-RU"/>
        </w:rPr>
        <w:t xml:space="preserve">. </w:t>
      </w:r>
    </w:p>
    <w:p w:rsidR="008C7A93" w:rsidRPr="00DF1530" w:rsidRDefault="008C7A93" w:rsidP="008C7A93">
      <w:pPr>
        <w:pStyle w:val="21"/>
        <w:rPr>
          <w:lang w:val="ru-RU"/>
        </w:rPr>
      </w:pPr>
      <w:bookmarkStart w:id="73" w:name="_Toc369561406"/>
      <w:bookmarkStart w:id="74" w:name="_Toc369603439"/>
      <w:bookmarkStart w:id="75" w:name="_Toc369603710"/>
      <w:bookmarkStart w:id="76" w:name="_Toc369604125"/>
      <w:bookmarkStart w:id="77" w:name="_Toc369607795"/>
      <w:bookmarkStart w:id="78" w:name="_Toc369607990"/>
      <w:bookmarkStart w:id="79" w:name="_Toc369609370"/>
      <w:bookmarkStart w:id="80" w:name="_Toc369609963"/>
      <w:bookmarkStart w:id="81" w:name="_Toc369614576"/>
      <w:bookmarkStart w:id="82" w:name="_Toc369614750"/>
      <w:bookmarkStart w:id="83" w:name="_Toc369614930"/>
      <w:bookmarkStart w:id="84" w:name="_Toc369616482"/>
      <w:bookmarkStart w:id="85" w:name="_Toc369682533"/>
      <w:bookmarkStart w:id="86" w:name="_Toc369709746"/>
      <w:bookmarkStart w:id="87" w:name="_Toc411535419"/>
      <w:r w:rsidRPr="00DF1530">
        <w:rPr>
          <w:lang w:val="ru-RU"/>
        </w:rPr>
        <w:t xml:space="preserve">1.4. </w:t>
      </w:r>
      <w:r w:rsidRPr="00DF1530">
        <w:rPr>
          <w:lang w:val="ru-RU"/>
        </w:rPr>
        <w:tab/>
      </w:r>
      <w:r w:rsidR="00EB1372" w:rsidRPr="00DF1530">
        <w:rPr>
          <w:lang w:val="ru-RU"/>
        </w:rPr>
        <w:t>Федеральны</w:t>
      </w:r>
      <w:r w:rsidR="00B05893" w:rsidRPr="00DF1530">
        <w:rPr>
          <w:lang w:val="ru-RU"/>
        </w:rPr>
        <w:t>е</w:t>
      </w:r>
      <w:r w:rsidRPr="00DF1530">
        <w:rPr>
          <w:lang w:val="ru-RU"/>
        </w:rPr>
        <w:t xml:space="preserve"> </w:t>
      </w:r>
      <w:r w:rsidR="00B05893" w:rsidRPr="00DF1530">
        <w:rPr>
          <w:lang w:val="ru-RU"/>
        </w:rPr>
        <w:t xml:space="preserve">программы по </w:t>
      </w:r>
      <w:r w:rsidR="003F5CB4" w:rsidRPr="00DF1530">
        <w:rPr>
          <w:lang w:val="ru-RU"/>
        </w:rPr>
        <w:t>МСП и предпринимательск</w:t>
      </w:r>
      <w:r w:rsidR="00B05893" w:rsidRPr="00DF1530">
        <w:rPr>
          <w:lang w:val="ru-RU"/>
        </w:rPr>
        <w:t>ой</w:t>
      </w:r>
      <w:r w:rsidR="003F5CB4" w:rsidRPr="00DF1530">
        <w:rPr>
          <w:lang w:val="ru-RU"/>
        </w:rPr>
        <w:t xml:space="preserve"> деятельност</w:t>
      </w:r>
      <w:r w:rsidR="00B05893" w:rsidRPr="00DF1530">
        <w:rPr>
          <w:lang w:val="ru-RU"/>
        </w:rPr>
        <w:t>и</w:t>
      </w:r>
      <w:r w:rsidRPr="00DF1530">
        <w:rPr>
          <w:lang w:val="ru-RU"/>
        </w:rPr>
        <w:t xml:space="preserve">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8C7A93" w:rsidRPr="00DF1530" w:rsidRDefault="008D34F6" w:rsidP="008C7A93">
      <w:pPr>
        <w:pStyle w:val="31"/>
        <w:rPr>
          <w:lang w:val="ru-RU"/>
        </w:rPr>
      </w:pPr>
      <w:r w:rsidRPr="00DF1530">
        <w:rPr>
          <w:lang w:val="ru-RU"/>
        </w:rPr>
        <w:t>Субсидии</w:t>
      </w:r>
      <w:r w:rsidR="008C7A93" w:rsidRPr="00DF1530">
        <w:rPr>
          <w:lang w:val="ru-RU"/>
        </w:rPr>
        <w:t xml:space="preserve"> </w:t>
      </w:r>
      <w:r w:rsidR="00B05893" w:rsidRPr="00DF1530">
        <w:rPr>
          <w:lang w:val="ru-RU"/>
        </w:rPr>
        <w:t>для вновь создаваемых</w:t>
      </w:r>
      <w:r w:rsidR="008C7A93" w:rsidRPr="00DF1530">
        <w:rPr>
          <w:lang w:val="ru-RU"/>
        </w:rPr>
        <w:t xml:space="preserve">, </w:t>
      </w:r>
      <w:r w:rsidR="00B05893" w:rsidRPr="00DF1530">
        <w:rPr>
          <w:lang w:val="ru-RU"/>
        </w:rPr>
        <w:t xml:space="preserve">инновационных и </w:t>
      </w:r>
      <w:r w:rsidR="000D542E" w:rsidRPr="00DF1530">
        <w:rPr>
          <w:lang w:val="ru-RU"/>
        </w:rPr>
        <w:t>экспортно-ориентированн</w:t>
      </w:r>
      <w:r w:rsidR="00B05893" w:rsidRPr="00DF1530">
        <w:rPr>
          <w:lang w:val="ru-RU"/>
        </w:rPr>
        <w:t>ых предприятий можно дополнить аналитическими и консультационными услугами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59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0D4BC1" w:rsidRPr="00DF1530">
        <w:rPr>
          <w:lang w:val="ru-RU"/>
        </w:rPr>
        <w:t xml:space="preserve">Большое число безработных пользуется небольшими </w:t>
      </w:r>
      <w:r w:rsidR="008353AD" w:rsidRPr="00DF1530">
        <w:rPr>
          <w:lang w:val="ru-RU"/>
        </w:rPr>
        <w:t>грант</w:t>
      </w:r>
      <w:r w:rsidR="000D4BC1" w:rsidRPr="00DF1530">
        <w:rPr>
          <w:lang w:val="ru-RU"/>
        </w:rPr>
        <w:t>ами</w:t>
      </w:r>
      <w:r w:rsidR="008C7A93" w:rsidRPr="00DF1530">
        <w:rPr>
          <w:lang w:val="ru-RU"/>
        </w:rPr>
        <w:t xml:space="preserve"> </w:t>
      </w:r>
      <w:r w:rsidR="000D4BC1" w:rsidRPr="00DF1530">
        <w:rPr>
          <w:lang w:val="ru-RU"/>
        </w:rPr>
        <w:t>на создание новых предприятий посредством программы г</w:t>
      </w:r>
      <w:r w:rsidR="008353AD" w:rsidRPr="00DF1530">
        <w:rPr>
          <w:lang w:val="ru-RU"/>
        </w:rPr>
        <w:t>рант</w:t>
      </w:r>
      <w:r w:rsidR="000D4BC1" w:rsidRPr="00DF1530">
        <w:rPr>
          <w:lang w:val="ru-RU"/>
        </w:rPr>
        <w:t>ов</w:t>
      </w:r>
      <w:r w:rsidR="008C7A93" w:rsidRPr="00DF1530">
        <w:rPr>
          <w:lang w:val="ru-RU"/>
        </w:rPr>
        <w:t xml:space="preserve"> </w:t>
      </w:r>
      <w:r w:rsidR="000D4BC1" w:rsidRPr="00DF1530">
        <w:rPr>
          <w:lang w:val="ru-RU"/>
        </w:rPr>
        <w:t>для перспективных п</w:t>
      </w:r>
      <w:r w:rsidR="00347E3A" w:rsidRPr="00DF1530">
        <w:rPr>
          <w:lang w:val="ru-RU"/>
        </w:rPr>
        <w:t>редпринимател</w:t>
      </w:r>
      <w:r w:rsidR="000D4BC1" w:rsidRPr="00DF1530">
        <w:rPr>
          <w:lang w:val="ru-RU"/>
        </w:rPr>
        <w:t>ей</w:t>
      </w:r>
      <w:r w:rsidR="008C7A93" w:rsidRPr="00DF1530">
        <w:rPr>
          <w:lang w:val="ru-RU"/>
        </w:rPr>
        <w:t xml:space="preserve"> </w:t>
      </w:r>
      <w:r w:rsidR="000D4BC1" w:rsidRPr="00DF1530">
        <w:rPr>
          <w:lang w:val="ru-RU"/>
        </w:rPr>
        <w:t>Министерства экономического развития и торговли</w:t>
      </w:r>
      <w:r w:rsidR="008C7A93" w:rsidRPr="00DF1530">
        <w:rPr>
          <w:lang w:val="ru-RU"/>
        </w:rPr>
        <w:t xml:space="preserve"> </w:t>
      </w:r>
      <w:r w:rsidR="000D4BC1" w:rsidRPr="00DF1530">
        <w:rPr>
          <w:lang w:val="ru-RU"/>
        </w:rPr>
        <w:t>и программы поддержки с</w:t>
      </w:r>
      <w:r w:rsidR="003F13A5" w:rsidRPr="00DF1530">
        <w:rPr>
          <w:lang w:val="ru-RU"/>
        </w:rPr>
        <w:t>амостоятельн</w:t>
      </w:r>
      <w:r w:rsidR="000D4BC1" w:rsidRPr="00DF1530">
        <w:rPr>
          <w:lang w:val="ru-RU"/>
        </w:rPr>
        <w:t>ой</w:t>
      </w:r>
      <w:r w:rsidR="003F13A5" w:rsidRPr="00DF1530">
        <w:rPr>
          <w:lang w:val="ru-RU"/>
        </w:rPr>
        <w:t xml:space="preserve"> занятост</w:t>
      </w:r>
      <w:r w:rsidR="000D4BC1" w:rsidRPr="00DF1530">
        <w:rPr>
          <w:lang w:val="ru-RU"/>
        </w:rPr>
        <w:t>и</w:t>
      </w:r>
      <w:r w:rsidR="008C7A93" w:rsidRPr="00DF1530">
        <w:rPr>
          <w:lang w:val="ru-RU"/>
        </w:rPr>
        <w:t xml:space="preserve"> </w:t>
      </w:r>
      <w:r w:rsidR="000D4BC1" w:rsidRPr="00DF1530">
        <w:rPr>
          <w:lang w:val="ru-RU"/>
        </w:rPr>
        <w:t>Министерства труда и социальной защиты</w:t>
      </w:r>
      <w:r w:rsidR="008C7A93" w:rsidRPr="00DF1530">
        <w:rPr>
          <w:lang w:val="ru-RU"/>
        </w:rPr>
        <w:t xml:space="preserve">. </w:t>
      </w:r>
      <w:r w:rsidR="000D4BC1" w:rsidRPr="00DF1530">
        <w:rPr>
          <w:lang w:val="ru-RU"/>
        </w:rPr>
        <w:t>Эффективность</w:t>
      </w:r>
      <w:r w:rsidR="008C7A93" w:rsidRPr="00DF1530">
        <w:rPr>
          <w:lang w:val="ru-RU"/>
        </w:rPr>
        <w:t xml:space="preserve"> </w:t>
      </w:r>
      <w:r w:rsidR="000D4BC1" w:rsidRPr="00DF1530">
        <w:rPr>
          <w:lang w:val="ru-RU"/>
        </w:rPr>
        <w:t xml:space="preserve">этих программ можно увеличить путем увеличения их селективности в сторону поддержки предложенных бизнес-проектов высочайшего </w:t>
      </w:r>
      <w:r w:rsidR="00D571E4" w:rsidRPr="00DF1530">
        <w:rPr>
          <w:lang w:val="ru-RU"/>
        </w:rPr>
        <w:t>качеств</w:t>
      </w:r>
      <w:r w:rsidR="000D4BC1" w:rsidRPr="00DF1530">
        <w:rPr>
          <w:lang w:val="ru-RU"/>
        </w:rPr>
        <w:t>а</w:t>
      </w:r>
      <w:r w:rsidR="008C7A93" w:rsidRPr="00DF1530">
        <w:rPr>
          <w:lang w:val="ru-RU"/>
        </w:rPr>
        <w:t xml:space="preserve"> </w:t>
      </w:r>
      <w:r w:rsidR="000D4BC1" w:rsidRPr="00DF1530">
        <w:rPr>
          <w:lang w:val="ru-RU"/>
        </w:rPr>
        <w:t>и увеличения объема консультаций и обучения для тех, кто пользуется этими грантами на создание новых предприятий</w:t>
      </w:r>
      <w:r w:rsidR="008C7A93" w:rsidRPr="00DF1530">
        <w:rPr>
          <w:lang w:val="ru-RU"/>
        </w:rPr>
        <w:t xml:space="preserve">. </w:t>
      </w:r>
      <w:r w:rsidR="00795AE6" w:rsidRPr="00DF1530">
        <w:rPr>
          <w:lang w:val="ru-RU"/>
        </w:rPr>
        <w:t>Кроме того,</w:t>
      </w:r>
      <w:r w:rsidR="008C7A93" w:rsidRPr="00DF1530">
        <w:rPr>
          <w:lang w:val="ru-RU"/>
        </w:rPr>
        <w:t xml:space="preserve"> </w:t>
      </w:r>
      <w:r w:rsidR="000D4BC1" w:rsidRPr="00DF1530">
        <w:rPr>
          <w:lang w:val="ru-RU"/>
        </w:rPr>
        <w:t>эти две программы могут быть лучше соединены,</w:t>
      </w:r>
      <w:r w:rsidR="008C7A93" w:rsidRPr="00DF1530">
        <w:rPr>
          <w:lang w:val="ru-RU"/>
        </w:rPr>
        <w:t xml:space="preserve"> </w:t>
      </w:r>
      <w:r w:rsidR="000D4BC1" w:rsidRPr="00DF1530">
        <w:rPr>
          <w:lang w:val="ru-RU"/>
        </w:rPr>
        <w:t>и процедура допуска к участию в программе поддержки самостоятельной занятости может быть упрощена</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1A23D0" w:rsidRPr="00DF1530">
        <w:rPr>
          <w:lang w:val="ru-RU"/>
        </w:rPr>
        <w:t>Как и в случае с грантами на создание новых предприятий</w:t>
      </w:r>
      <w:r w:rsidR="008C7A93" w:rsidRPr="00DF1530">
        <w:rPr>
          <w:lang w:val="ru-RU"/>
        </w:rPr>
        <w:t xml:space="preserve">, </w:t>
      </w:r>
      <w:r w:rsidR="001A23D0" w:rsidRPr="00DF1530">
        <w:rPr>
          <w:lang w:val="ru-RU"/>
        </w:rPr>
        <w:t xml:space="preserve">основным элементом </w:t>
      </w:r>
      <w:r w:rsidR="00976BC2" w:rsidRPr="00DF1530">
        <w:rPr>
          <w:lang w:val="ru-RU"/>
        </w:rPr>
        <w:t>существующ</w:t>
      </w:r>
      <w:r w:rsidR="001A23D0" w:rsidRPr="00DF1530">
        <w:rPr>
          <w:lang w:val="ru-RU"/>
        </w:rPr>
        <w:t>е</w:t>
      </w:r>
      <w:r w:rsidR="00976BC2" w:rsidRPr="00DF1530">
        <w:rPr>
          <w:lang w:val="ru-RU"/>
        </w:rPr>
        <w:t>й</w:t>
      </w:r>
      <w:r w:rsidR="008C7A93" w:rsidRPr="00DF1530">
        <w:rPr>
          <w:lang w:val="ru-RU"/>
        </w:rPr>
        <w:t xml:space="preserve"> </w:t>
      </w:r>
      <w:r w:rsidR="001A23D0" w:rsidRPr="00DF1530">
        <w:rPr>
          <w:lang w:val="ru-RU"/>
        </w:rPr>
        <w:t xml:space="preserve">программы поддержки инновационных и </w:t>
      </w:r>
      <w:r w:rsidR="000D542E" w:rsidRPr="00DF1530">
        <w:rPr>
          <w:lang w:val="ru-RU"/>
        </w:rPr>
        <w:t>экспортно-ориентированн</w:t>
      </w:r>
      <w:r w:rsidR="001A23D0" w:rsidRPr="00DF1530">
        <w:rPr>
          <w:lang w:val="ru-RU"/>
        </w:rPr>
        <w:t xml:space="preserve">ых МСП являются </w:t>
      </w:r>
      <w:r w:rsidR="008D34F6" w:rsidRPr="00DF1530">
        <w:rPr>
          <w:lang w:val="ru-RU"/>
        </w:rPr>
        <w:t>субсидии</w:t>
      </w:r>
      <w:r w:rsidR="008C7A93" w:rsidRPr="00DF1530">
        <w:rPr>
          <w:lang w:val="ru-RU"/>
        </w:rPr>
        <w:t xml:space="preserve"> </w:t>
      </w:r>
      <w:r w:rsidR="001A23D0" w:rsidRPr="00DF1530">
        <w:rPr>
          <w:lang w:val="ru-RU"/>
        </w:rPr>
        <w:t>на разработку продуктов и технологий и оплата экспортных расходов</w:t>
      </w:r>
      <w:r w:rsidR="008C7A93" w:rsidRPr="00DF1530">
        <w:rPr>
          <w:lang w:val="ru-RU"/>
        </w:rPr>
        <w:t xml:space="preserve">. </w:t>
      </w:r>
      <w:r w:rsidR="001A23D0" w:rsidRPr="00DF1530">
        <w:rPr>
          <w:lang w:val="ru-RU"/>
        </w:rPr>
        <w:t xml:space="preserve">Эти </w:t>
      </w:r>
      <w:r w:rsidR="008D34F6" w:rsidRPr="00DF1530">
        <w:rPr>
          <w:lang w:val="ru-RU"/>
        </w:rPr>
        <w:t>субсидии</w:t>
      </w:r>
      <w:r w:rsidR="008C7A93" w:rsidRPr="00DF1530">
        <w:rPr>
          <w:lang w:val="ru-RU"/>
        </w:rPr>
        <w:t xml:space="preserve"> </w:t>
      </w:r>
      <w:r w:rsidR="001A23D0" w:rsidRPr="00DF1530">
        <w:rPr>
          <w:lang w:val="ru-RU"/>
        </w:rPr>
        <w:t>были бы эффективнее, если</w:t>
      </w:r>
      <w:r w:rsidR="008C7A93" w:rsidRPr="00DF1530">
        <w:rPr>
          <w:lang w:val="ru-RU"/>
        </w:rPr>
        <w:t xml:space="preserve"> </w:t>
      </w:r>
      <w:r w:rsidR="001A23D0" w:rsidRPr="00DF1530">
        <w:rPr>
          <w:lang w:val="ru-RU"/>
        </w:rPr>
        <w:t xml:space="preserve">бы они были дополнены расширенным анализом потребностей в развитии инновационных и </w:t>
      </w:r>
      <w:r w:rsidR="000D542E" w:rsidRPr="00DF1530">
        <w:rPr>
          <w:lang w:val="ru-RU"/>
        </w:rPr>
        <w:t>экспортно-ориентированн</w:t>
      </w:r>
      <w:r w:rsidR="001A23D0" w:rsidRPr="00DF1530">
        <w:rPr>
          <w:lang w:val="ru-RU"/>
        </w:rPr>
        <w:t xml:space="preserve">ых </w:t>
      </w:r>
      <w:r w:rsidR="00F736B7" w:rsidRPr="00DF1530">
        <w:rPr>
          <w:lang w:val="ru-RU"/>
        </w:rPr>
        <w:t>МСП</w:t>
      </w:r>
      <w:r w:rsidR="008932D4" w:rsidRPr="00DF1530">
        <w:rPr>
          <w:lang w:val="ru-RU"/>
        </w:rPr>
        <w:t>,</w:t>
      </w:r>
      <w:r w:rsidR="008C7A93" w:rsidRPr="00DF1530">
        <w:rPr>
          <w:lang w:val="ru-RU"/>
        </w:rPr>
        <w:t xml:space="preserve"> </w:t>
      </w:r>
      <w:r w:rsidR="001A23D0" w:rsidRPr="00DF1530">
        <w:rPr>
          <w:lang w:val="ru-RU"/>
        </w:rPr>
        <w:t>вместе с</w:t>
      </w:r>
      <w:r w:rsidR="008C7A93" w:rsidRPr="00DF1530">
        <w:rPr>
          <w:lang w:val="ru-RU"/>
        </w:rPr>
        <w:t xml:space="preserve"> </w:t>
      </w:r>
      <w:r w:rsidR="001A23D0" w:rsidRPr="00DF1530">
        <w:rPr>
          <w:lang w:val="ru-RU"/>
        </w:rPr>
        <w:t>соответствующими консультациями</w:t>
      </w:r>
      <w:r w:rsidR="008C7A93" w:rsidRPr="00DF1530">
        <w:rPr>
          <w:lang w:val="ru-RU"/>
        </w:rPr>
        <w:t xml:space="preserve">, </w:t>
      </w:r>
      <w:r w:rsidR="001A23D0" w:rsidRPr="00DF1530">
        <w:rPr>
          <w:lang w:val="ru-RU"/>
        </w:rPr>
        <w:t>обучением</w:t>
      </w:r>
      <w:r w:rsidR="008C7A93" w:rsidRPr="00DF1530">
        <w:rPr>
          <w:lang w:val="ru-RU"/>
        </w:rPr>
        <w:t xml:space="preserve">, </w:t>
      </w:r>
      <w:r w:rsidR="001A23D0" w:rsidRPr="00DF1530">
        <w:rPr>
          <w:lang w:val="ru-RU"/>
        </w:rPr>
        <w:t xml:space="preserve">консультативной деятельностью и подготовкой </w:t>
      </w:r>
      <w:r w:rsidR="008932D4" w:rsidRPr="00DF1530">
        <w:rPr>
          <w:lang w:val="ru-RU"/>
        </w:rPr>
        <w:t>кадров</w:t>
      </w:r>
      <w:r w:rsidR="001A23D0" w:rsidRPr="00DF1530">
        <w:rPr>
          <w:lang w:val="ru-RU"/>
        </w:rPr>
        <w:t xml:space="preserve">, чтобы </w:t>
      </w:r>
      <w:r w:rsidR="008932D4" w:rsidRPr="00DF1530">
        <w:rPr>
          <w:lang w:val="ru-RU"/>
        </w:rPr>
        <w:t xml:space="preserve">составить </w:t>
      </w:r>
      <w:r w:rsidR="001A23D0" w:rsidRPr="00DF1530">
        <w:rPr>
          <w:lang w:val="ru-RU"/>
        </w:rPr>
        <w:t>согласованные планы действий дл</w:t>
      </w:r>
      <w:r w:rsidR="008932D4" w:rsidRPr="00DF1530">
        <w:rPr>
          <w:lang w:val="ru-RU"/>
        </w:rPr>
        <w:t>я</w:t>
      </w:r>
      <w:r w:rsidR="001A23D0" w:rsidRPr="00DF1530">
        <w:rPr>
          <w:lang w:val="ru-RU"/>
        </w:rPr>
        <w:t xml:space="preserve"> совершенствования практики и возможностей</w:t>
      </w:r>
      <w:r w:rsidR="008C7A93" w:rsidRPr="00DF1530">
        <w:rPr>
          <w:lang w:val="ru-RU"/>
        </w:rPr>
        <w:t xml:space="preserve">. </w:t>
      </w:r>
      <w:r w:rsidR="00795AE6" w:rsidRPr="00DF1530">
        <w:rPr>
          <w:lang w:val="ru-RU"/>
        </w:rPr>
        <w:t>Кроме того,</w:t>
      </w:r>
      <w:r w:rsidR="008C7A93" w:rsidRPr="00DF1530">
        <w:rPr>
          <w:lang w:val="ru-RU"/>
        </w:rPr>
        <w:t xml:space="preserve"> </w:t>
      </w:r>
      <w:r w:rsidR="001A23D0" w:rsidRPr="00DF1530">
        <w:rPr>
          <w:lang w:val="ru-RU"/>
        </w:rPr>
        <w:t xml:space="preserve">поддержка инновационных </w:t>
      </w:r>
      <w:r w:rsidR="00834072" w:rsidRPr="00DF1530">
        <w:rPr>
          <w:lang w:val="ru-RU"/>
        </w:rPr>
        <w:t>МСП</w:t>
      </w:r>
      <w:r w:rsidR="008C7A93" w:rsidRPr="00DF1530">
        <w:rPr>
          <w:lang w:val="ru-RU"/>
        </w:rPr>
        <w:t xml:space="preserve"> </w:t>
      </w:r>
      <w:r w:rsidR="001A23D0" w:rsidRPr="00DF1530">
        <w:rPr>
          <w:lang w:val="ru-RU"/>
        </w:rPr>
        <w:t xml:space="preserve">должна быть открытой при ее фактической реализации путем расширения объема поддерживаемых </w:t>
      </w:r>
      <w:r w:rsidR="00D3769A" w:rsidRPr="00DF1530">
        <w:rPr>
          <w:lang w:val="ru-RU"/>
        </w:rPr>
        <w:t>инноваци</w:t>
      </w:r>
      <w:r w:rsidR="001A23D0" w:rsidRPr="00DF1530">
        <w:rPr>
          <w:lang w:val="ru-RU"/>
        </w:rPr>
        <w:t xml:space="preserve">онных проектов, в особенности проектов нетехнологических </w:t>
      </w:r>
      <w:r w:rsidR="00D3769A" w:rsidRPr="00DF1530">
        <w:rPr>
          <w:lang w:val="ru-RU"/>
        </w:rPr>
        <w:t>инноваци</w:t>
      </w:r>
      <w:r w:rsidR="001A23D0" w:rsidRPr="00DF1530">
        <w:rPr>
          <w:lang w:val="ru-RU"/>
        </w:rPr>
        <w:t>й</w:t>
      </w:r>
      <w:r w:rsidR="008C7A93" w:rsidRPr="00DF1530">
        <w:rPr>
          <w:lang w:val="ru-RU"/>
        </w:rPr>
        <w:t xml:space="preserve"> (</w:t>
      </w:r>
      <w:r w:rsidR="001A23D0" w:rsidRPr="00DF1530">
        <w:rPr>
          <w:lang w:val="ru-RU"/>
        </w:rPr>
        <w:t>маркетинг</w:t>
      </w:r>
      <w:r w:rsidR="008C7A93" w:rsidRPr="00DF1530">
        <w:rPr>
          <w:lang w:val="ru-RU"/>
        </w:rPr>
        <w:t xml:space="preserve">, </w:t>
      </w:r>
      <w:r w:rsidR="001A23D0" w:rsidRPr="00DF1530">
        <w:rPr>
          <w:lang w:val="ru-RU"/>
        </w:rPr>
        <w:t>совершенствование бизнес-модели и т.д</w:t>
      </w:r>
      <w:r w:rsidR="008C7A93" w:rsidRPr="00DF1530">
        <w:rPr>
          <w:lang w:val="ru-RU"/>
        </w:rPr>
        <w:t>.)</w:t>
      </w:r>
      <w:r w:rsidR="001A23D0" w:rsidRPr="00DF1530">
        <w:rPr>
          <w:lang w:val="ru-RU"/>
        </w:rPr>
        <w:t>,</w:t>
      </w:r>
      <w:r w:rsidR="008C7A93" w:rsidRPr="00DF1530">
        <w:rPr>
          <w:lang w:val="ru-RU"/>
        </w:rPr>
        <w:t xml:space="preserve"> </w:t>
      </w:r>
      <w:r w:rsidR="001A23D0" w:rsidRPr="00DF1530">
        <w:rPr>
          <w:lang w:val="ru-RU"/>
        </w:rPr>
        <w:t xml:space="preserve">а также </w:t>
      </w:r>
      <w:r w:rsidR="00D3769A" w:rsidRPr="00DF1530">
        <w:rPr>
          <w:lang w:val="ru-RU"/>
        </w:rPr>
        <w:t>инноваци</w:t>
      </w:r>
      <w:r w:rsidR="001A23D0" w:rsidRPr="00DF1530">
        <w:rPr>
          <w:lang w:val="ru-RU"/>
        </w:rPr>
        <w:t>й в области высоких технологий</w:t>
      </w:r>
      <w:r w:rsidR="008C7A93" w:rsidRPr="00DF1530">
        <w:rPr>
          <w:lang w:val="ru-RU"/>
        </w:rPr>
        <w:t xml:space="preserve">.  </w:t>
      </w:r>
    </w:p>
    <w:p w:rsidR="008C7A93" w:rsidRPr="00DF1530" w:rsidRDefault="005D19A0" w:rsidP="008C7A93">
      <w:pPr>
        <w:pStyle w:val="31"/>
        <w:rPr>
          <w:lang w:val="ru-RU"/>
        </w:rPr>
      </w:pPr>
      <w:r w:rsidRPr="00DF1530">
        <w:rPr>
          <w:lang w:val="ru-RU"/>
        </w:rPr>
        <w:t xml:space="preserve">Предстоит еще большая работа по </w:t>
      </w:r>
      <w:r w:rsidR="002318D2" w:rsidRPr="00DF1530">
        <w:rPr>
          <w:lang w:val="ru-RU"/>
        </w:rPr>
        <w:t>подготовке</w:t>
      </w:r>
      <w:r w:rsidRPr="00DF1530">
        <w:rPr>
          <w:lang w:val="ru-RU"/>
        </w:rPr>
        <w:t xml:space="preserve"> будущих </w:t>
      </w:r>
      <w:r w:rsidR="00347E3A" w:rsidRPr="00DF1530">
        <w:rPr>
          <w:lang w:val="ru-RU"/>
        </w:rPr>
        <w:t>предпринимател</w:t>
      </w:r>
      <w:r w:rsidRPr="00DF1530">
        <w:rPr>
          <w:lang w:val="ru-RU"/>
        </w:rPr>
        <w:t>ей</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взрослое население</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D19A0" w:rsidRPr="00DF1530">
        <w:rPr>
          <w:lang w:val="ru-RU"/>
        </w:rPr>
        <w:t>С</w:t>
      </w:r>
      <w:r w:rsidR="00976BC2" w:rsidRPr="00DF1530">
        <w:rPr>
          <w:lang w:val="ru-RU"/>
        </w:rPr>
        <w:t>уществующ</w:t>
      </w:r>
      <w:r w:rsidR="005D19A0" w:rsidRPr="00DF1530">
        <w:rPr>
          <w:lang w:val="ru-RU"/>
        </w:rPr>
        <w:t>ая</w:t>
      </w:r>
      <w:r w:rsidR="008C7A93" w:rsidRPr="00DF1530">
        <w:rPr>
          <w:lang w:val="ru-RU"/>
        </w:rPr>
        <w:t xml:space="preserve"> </w:t>
      </w:r>
      <w:r w:rsidR="00EB1372" w:rsidRPr="00DF1530">
        <w:rPr>
          <w:lang w:val="ru-RU"/>
        </w:rPr>
        <w:t>федеральн</w:t>
      </w:r>
      <w:r w:rsidR="005D19A0" w:rsidRPr="00DF1530">
        <w:rPr>
          <w:lang w:val="ru-RU"/>
        </w:rPr>
        <w:t>ая программа поддержки</w:t>
      </w:r>
      <w:r w:rsidR="008C7A93" w:rsidRPr="00DF1530">
        <w:rPr>
          <w:lang w:val="ru-RU"/>
        </w:rPr>
        <w:t xml:space="preserve"> </w:t>
      </w:r>
      <w:r w:rsidR="003F5CB4" w:rsidRPr="00DF1530">
        <w:rPr>
          <w:lang w:val="ru-RU"/>
        </w:rPr>
        <w:t>МСП и предпринимательск</w:t>
      </w:r>
      <w:r w:rsidR="005D19A0" w:rsidRPr="00DF1530">
        <w:rPr>
          <w:lang w:val="ru-RU"/>
        </w:rPr>
        <w:t>ой</w:t>
      </w:r>
      <w:r w:rsidR="003F5CB4" w:rsidRPr="00DF1530">
        <w:rPr>
          <w:lang w:val="ru-RU"/>
        </w:rPr>
        <w:t xml:space="preserve"> деятельност</w:t>
      </w:r>
      <w:r w:rsidR="005D19A0" w:rsidRPr="00DF1530">
        <w:rPr>
          <w:lang w:val="ru-RU"/>
        </w:rPr>
        <w:t>и</w:t>
      </w:r>
      <w:r w:rsidR="008C7A93" w:rsidRPr="00DF1530">
        <w:rPr>
          <w:lang w:val="ru-RU"/>
        </w:rPr>
        <w:t xml:space="preserve"> </w:t>
      </w:r>
      <w:r w:rsidR="005D19A0" w:rsidRPr="00DF1530">
        <w:rPr>
          <w:lang w:val="ru-RU"/>
        </w:rPr>
        <w:t xml:space="preserve">в значительной степени сосредоточена на молодежной </w:t>
      </w:r>
      <w:r w:rsidR="00834072" w:rsidRPr="00DF1530">
        <w:rPr>
          <w:lang w:val="ru-RU"/>
        </w:rPr>
        <w:t>предпринимательск</w:t>
      </w:r>
      <w:r w:rsidR="005D19A0" w:rsidRPr="00DF1530">
        <w:rPr>
          <w:lang w:val="ru-RU"/>
        </w:rPr>
        <w:t>ой</w:t>
      </w:r>
      <w:r w:rsidR="00834072" w:rsidRPr="00DF1530">
        <w:rPr>
          <w:lang w:val="ru-RU"/>
        </w:rPr>
        <w:t xml:space="preserve"> </w:t>
      </w:r>
      <w:r w:rsidR="00C142EC" w:rsidRPr="00DF1530">
        <w:rPr>
          <w:lang w:val="ru-RU"/>
        </w:rPr>
        <w:t>активности</w:t>
      </w:r>
      <w:r w:rsidR="008C7A93" w:rsidRPr="00DF1530">
        <w:rPr>
          <w:lang w:val="ru-RU"/>
        </w:rPr>
        <w:t xml:space="preserve">. </w:t>
      </w:r>
      <w:r w:rsidR="00592D7B" w:rsidRPr="00DF1530">
        <w:rPr>
          <w:lang w:val="ru-RU"/>
        </w:rPr>
        <w:t>К примеру</w:t>
      </w:r>
      <w:r w:rsidR="008C7A93" w:rsidRPr="00DF1530">
        <w:rPr>
          <w:lang w:val="ru-RU"/>
        </w:rPr>
        <w:t xml:space="preserve">, </w:t>
      </w:r>
      <w:r w:rsidR="005D19A0" w:rsidRPr="00DF1530">
        <w:rPr>
          <w:lang w:val="ru-RU"/>
        </w:rPr>
        <w:t>недавнее создание молодежных инновационных творческих центров в высших учебных заведениях позволяет молодым людям, интересующимся работой в технологически</w:t>
      </w:r>
      <w:r w:rsidR="00FF78BB" w:rsidRPr="00DF1530">
        <w:rPr>
          <w:lang w:val="ru-RU"/>
        </w:rPr>
        <w:t>-</w:t>
      </w:r>
      <w:r w:rsidR="005D19A0" w:rsidRPr="00DF1530">
        <w:rPr>
          <w:lang w:val="ru-RU"/>
        </w:rPr>
        <w:t xml:space="preserve">ориентированных </w:t>
      </w:r>
      <w:r w:rsidR="00F736B7" w:rsidRPr="00DF1530">
        <w:rPr>
          <w:lang w:val="ru-RU"/>
        </w:rPr>
        <w:t>МСП</w:t>
      </w:r>
      <w:r w:rsidR="005D19A0" w:rsidRPr="00DF1530">
        <w:rPr>
          <w:lang w:val="ru-RU"/>
        </w:rPr>
        <w:t>,</w:t>
      </w:r>
      <w:r w:rsidR="008C7A93" w:rsidRPr="00DF1530">
        <w:rPr>
          <w:lang w:val="ru-RU"/>
        </w:rPr>
        <w:t xml:space="preserve"> </w:t>
      </w:r>
      <w:r w:rsidR="005D19A0" w:rsidRPr="00DF1530">
        <w:rPr>
          <w:lang w:val="ru-RU"/>
        </w:rPr>
        <w:t xml:space="preserve">познакомиться с самым современным производственным </w:t>
      </w:r>
      <w:r w:rsidR="00BA1F08" w:rsidRPr="00DF1530">
        <w:rPr>
          <w:lang w:val="ru-RU"/>
        </w:rPr>
        <w:t>оборудование</w:t>
      </w:r>
      <w:r w:rsidR="005D19A0" w:rsidRPr="00DF1530">
        <w:rPr>
          <w:lang w:val="ru-RU"/>
        </w:rPr>
        <w:t>м</w:t>
      </w:r>
      <w:r w:rsidR="008C7A93" w:rsidRPr="00DF1530">
        <w:rPr>
          <w:lang w:val="ru-RU"/>
        </w:rPr>
        <w:t xml:space="preserve">. </w:t>
      </w:r>
      <w:r w:rsidR="00345F46" w:rsidRPr="00DF1530">
        <w:rPr>
          <w:lang w:val="ru-RU"/>
        </w:rPr>
        <w:t xml:space="preserve">На молодежь </w:t>
      </w:r>
      <w:r w:rsidR="00592D7B" w:rsidRPr="00DF1530">
        <w:rPr>
          <w:lang w:val="ru-RU"/>
        </w:rPr>
        <w:t>также</w:t>
      </w:r>
      <w:r w:rsidR="008C7A93" w:rsidRPr="00DF1530">
        <w:rPr>
          <w:lang w:val="ru-RU"/>
        </w:rPr>
        <w:t xml:space="preserve"> </w:t>
      </w:r>
      <w:r w:rsidR="00345F46" w:rsidRPr="00DF1530">
        <w:rPr>
          <w:lang w:val="ru-RU"/>
        </w:rPr>
        <w:t xml:space="preserve">главным образом нацелены курсы по </w:t>
      </w:r>
      <w:r w:rsidR="00834072" w:rsidRPr="00DF1530">
        <w:rPr>
          <w:lang w:val="ru-RU"/>
        </w:rPr>
        <w:t>предпринимательск</w:t>
      </w:r>
      <w:r w:rsidR="00345F46" w:rsidRPr="00DF1530">
        <w:rPr>
          <w:lang w:val="ru-RU"/>
        </w:rPr>
        <w:t>ой</w:t>
      </w:r>
      <w:r w:rsidR="00834072" w:rsidRPr="00DF1530">
        <w:rPr>
          <w:lang w:val="ru-RU"/>
        </w:rPr>
        <w:t xml:space="preserve"> деятельност</w:t>
      </w:r>
      <w:r w:rsidR="00345F46" w:rsidRPr="00DF1530">
        <w:rPr>
          <w:lang w:val="ru-RU"/>
        </w:rPr>
        <w:t>и</w:t>
      </w:r>
      <w:r w:rsidR="008C7A93" w:rsidRPr="00DF1530">
        <w:rPr>
          <w:lang w:val="ru-RU"/>
        </w:rPr>
        <w:t xml:space="preserve"> </w:t>
      </w:r>
      <w:r w:rsidR="00345F46" w:rsidRPr="00DF1530">
        <w:rPr>
          <w:lang w:val="ru-RU"/>
        </w:rPr>
        <w:t>в учебных заведениях</w:t>
      </w:r>
      <w:r w:rsidR="008C7A93" w:rsidRPr="00DF1530">
        <w:rPr>
          <w:lang w:val="ru-RU"/>
        </w:rPr>
        <w:t xml:space="preserve">, </w:t>
      </w:r>
      <w:r w:rsidR="001D563D" w:rsidRPr="00DF1530">
        <w:rPr>
          <w:lang w:val="ru-RU"/>
        </w:rPr>
        <w:t xml:space="preserve">конкурсы </w:t>
      </w:r>
      <w:r w:rsidR="00345F46" w:rsidRPr="00DF1530">
        <w:rPr>
          <w:lang w:val="ru-RU"/>
        </w:rPr>
        <w:t>на получение финансовых наград</w:t>
      </w:r>
      <w:r w:rsidR="008C7A93" w:rsidRPr="00DF1530">
        <w:rPr>
          <w:lang w:val="ru-RU"/>
        </w:rPr>
        <w:t xml:space="preserve"> </w:t>
      </w:r>
      <w:r w:rsidR="00C142EC" w:rsidRPr="00DF1530">
        <w:rPr>
          <w:lang w:val="ru-RU"/>
        </w:rPr>
        <w:t xml:space="preserve">за лучший бизнес-план </w:t>
      </w:r>
      <w:r w:rsidR="00345F46" w:rsidRPr="00DF1530">
        <w:rPr>
          <w:lang w:val="ru-RU"/>
        </w:rPr>
        <w:t>и сокращенные курсы обучения предпринимательской деятельности</w:t>
      </w:r>
      <w:r w:rsidR="008C7A93" w:rsidRPr="00DF1530">
        <w:rPr>
          <w:lang w:val="ru-RU"/>
        </w:rPr>
        <w:t xml:space="preserve">. </w:t>
      </w:r>
      <w:r w:rsidR="007C68D2" w:rsidRPr="00DF1530">
        <w:rPr>
          <w:lang w:val="ru-RU"/>
        </w:rPr>
        <w:t>Однако</w:t>
      </w:r>
      <w:r w:rsidR="008C7A93" w:rsidRPr="00DF1530">
        <w:rPr>
          <w:lang w:val="ru-RU"/>
        </w:rPr>
        <w:t xml:space="preserve"> </w:t>
      </w:r>
      <w:r w:rsidR="00345F46" w:rsidRPr="00DF1530">
        <w:rPr>
          <w:lang w:val="ru-RU"/>
        </w:rPr>
        <w:t xml:space="preserve">целевое количество молодых людей, которые будут заинтересованы или получат поддержку в создании </w:t>
      </w:r>
      <w:r w:rsidR="00297F6F" w:rsidRPr="00DF1530">
        <w:rPr>
          <w:lang w:val="ru-RU"/>
        </w:rPr>
        <w:t>предприятия</w:t>
      </w:r>
      <w:r w:rsidR="00345F46" w:rsidRPr="00DF1530">
        <w:rPr>
          <w:lang w:val="ru-RU"/>
        </w:rPr>
        <w:t>,</w:t>
      </w:r>
      <w:r w:rsidR="008C7A93" w:rsidRPr="00DF1530">
        <w:rPr>
          <w:lang w:val="ru-RU"/>
        </w:rPr>
        <w:t xml:space="preserve"> </w:t>
      </w:r>
      <w:r w:rsidR="00834072" w:rsidRPr="00DF1530">
        <w:rPr>
          <w:lang w:val="ru-RU"/>
        </w:rPr>
        <w:t>сравнительно</w:t>
      </w:r>
      <w:r w:rsidR="008C7A93" w:rsidRPr="00DF1530">
        <w:rPr>
          <w:lang w:val="ru-RU"/>
        </w:rPr>
        <w:t xml:space="preserve"> </w:t>
      </w:r>
      <w:r w:rsidR="00345F46" w:rsidRPr="00DF1530">
        <w:rPr>
          <w:lang w:val="ru-RU"/>
        </w:rPr>
        <w:t>невелико</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F13A5" w:rsidRPr="00DF1530">
        <w:rPr>
          <w:lang w:val="ru-RU"/>
        </w:rPr>
        <w:t>Кроме того</w:t>
      </w:r>
      <w:r w:rsidR="008C7A93" w:rsidRPr="00DF1530">
        <w:rPr>
          <w:lang w:val="ru-RU"/>
        </w:rPr>
        <w:t xml:space="preserve">, </w:t>
      </w:r>
      <w:r w:rsidR="004F446E" w:rsidRPr="00DF1530">
        <w:rPr>
          <w:lang w:val="ru-RU"/>
        </w:rPr>
        <w:t xml:space="preserve">действующие </w:t>
      </w:r>
      <w:r w:rsidR="0023536F" w:rsidRPr="00DF1530">
        <w:rPr>
          <w:lang w:val="ru-RU"/>
        </w:rPr>
        <w:t>программы</w:t>
      </w:r>
      <w:r w:rsidR="008C7A93" w:rsidRPr="00DF1530">
        <w:rPr>
          <w:lang w:val="ru-RU"/>
        </w:rPr>
        <w:t xml:space="preserve"> </w:t>
      </w:r>
      <w:r w:rsidR="004F446E" w:rsidRPr="00DF1530">
        <w:rPr>
          <w:lang w:val="ru-RU"/>
        </w:rPr>
        <w:t xml:space="preserve">образования по </w:t>
      </w:r>
      <w:r w:rsidR="00834072" w:rsidRPr="00DF1530">
        <w:rPr>
          <w:lang w:val="ru-RU"/>
        </w:rPr>
        <w:t>предпринимательск</w:t>
      </w:r>
      <w:r w:rsidR="004F446E" w:rsidRPr="00DF1530">
        <w:rPr>
          <w:lang w:val="ru-RU"/>
        </w:rPr>
        <w:t>ой</w:t>
      </w:r>
      <w:r w:rsidR="00834072" w:rsidRPr="00DF1530">
        <w:rPr>
          <w:lang w:val="ru-RU"/>
        </w:rPr>
        <w:t xml:space="preserve"> деятельност</w:t>
      </w:r>
      <w:r w:rsidR="004F446E" w:rsidRPr="00DF1530">
        <w:rPr>
          <w:lang w:val="ru-RU"/>
        </w:rPr>
        <w:t>и</w:t>
      </w:r>
      <w:r w:rsidR="008C7A93" w:rsidRPr="00DF1530">
        <w:rPr>
          <w:lang w:val="ru-RU"/>
        </w:rPr>
        <w:t xml:space="preserve"> </w:t>
      </w:r>
      <w:r w:rsidR="004F446E" w:rsidRPr="00DF1530">
        <w:rPr>
          <w:lang w:val="ru-RU"/>
        </w:rPr>
        <w:t>фрагментированы среди различных министерств</w:t>
      </w:r>
      <w:r w:rsidR="008C7A93" w:rsidRPr="00DF1530">
        <w:rPr>
          <w:lang w:val="ru-RU"/>
        </w:rPr>
        <w:t xml:space="preserve"> </w:t>
      </w:r>
      <w:r w:rsidR="004F446E" w:rsidRPr="00DF1530">
        <w:rPr>
          <w:lang w:val="ru-RU"/>
        </w:rPr>
        <w:t>и неправительственных организаций, и масштаб поддержки пока недостаточный, чтобы охватить всех молодых людей в учебных заведениях</w:t>
      </w:r>
      <w:r w:rsidR="008C7A93" w:rsidRPr="00DF1530">
        <w:rPr>
          <w:lang w:val="ru-RU"/>
        </w:rPr>
        <w:t xml:space="preserve">. </w:t>
      </w:r>
      <w:r w:rsidR="00090F32" w:rsidRPr="00DF1530">
        <w:rPr>
          <w:lang w:val="ru-RU"/>
        </w:rPr>
        <w:t xml:space="preserve">Важная инициатива по расширению и улучшению действующих </w:t>
      </w:r>
      <w:r w:rsidR="00090F32" w:rsidRPr="00DF1530">
        <w:rPr>
          <w:lang w:val="ru-RU"/>
        </w:rPr>
        <w:lastRenderedPageBreak/>
        <w:t>программ образования по предпринимательской деятельности могла бы начаться в сфере высшего образования</w:t>
      </w:r>
      <w:r w:rsidR="008C7A93" w:rsidRPr="00DF1530">
        <w:rPr>
          <w:lang w:val="ru-RU"/>
        </w:rPr>
        <w:t xml:space="preserve">, </w:t>
      </w:r>
      <w:r w:rsidR="00090F32" w:rsidRPr="00DF1530">
        <w:rPr>
          <w:lang w:val="ru-RU"/>
        </w:rPr>
        <w:t xml:space="preserve">особенно в подготовке преподавателей по </w:t>
      </w:r>
      <w:r w:rsidR="00834072" w:rsidRPr="00DF1530">
        <w:rPr>
          <w:lang w:val="ru-RU"/>
        </w:rPr>
        <w:t>предпринимательск</w:t>
      </w:r>
      <w:r w:rsidR="00090F32" w:rsidRPr="00DF1530">
        <w:rPr>
          <w:lang w:val="ru-RU"/>
        </w:rPr>
        <w:t>ой</w:t>
      </w:r>
      <w:r w:rsidR="00834072" w:rsidRPr="00DF1530">
        <w:rPr>
          <w:lang w:val="ru-RU"/>
        </w:rPr>
        <w:t xml:space="preserve"> деятельност</w:t>
      </w:r>
      <w:r w:rsidR="00090F32" w:rsidRPr="00DF1530">
        <w:rPr>
          <w:lang w:val="ru-RU"/>
        </w:rPr>
        <w:t>и</w:t>
      </w:r>
      <w:r w:rsidR="008C7A93" w:rsidRPr="00DF1530">
        <w:rPr>
          <w:lang w:val="ru-RU"/>
        </w:rPr>
        <w:t xml:space="preserve">, </w:t>
      </w:r>
      <w:r w:rsidR="00090F32" w:rsidRPr="00DF1530">
        <w:rPr>
          <w:lang w:val="ru-RU"/>
        </w:rPr>
        <w:t xml:space="preserve">разработке учебных материалов по </w:t>
      </w:r>
      <w:r w:rsidR="00834072" w:rsidRPr="00DF1530">
        <w:rPr>
          <w:lang w:val="ru-RU"/>
        </w:rPr>
        <w:t>предпринимательск</w:t>
      </w:r>
      <w:r w:rsidR="00090F32" w:rsidRPr="00DF1530">
        <w:rPr>
          <w:lang w:val="ru-RU"/>
        </w:rPr>
        <w:t>ой</w:t>
      </w:r>
      <w:r w:rsidR="00834072" w:rsidRPr="00DF1530">
        <w:rPr>
          <w:lang w:val="ru-RU"/>
        </w:rPr>
        <w:t xml:space="preserve"> деятельност</w:t>
      </w:r>
      <w:r w:rsidR="00090F32" w:rsidRPr="00DF1530">
        <w:rPr>
          <w:lang w:val="ru-RU"/>
        </w:rPr>
        <w:t>и</w:t>
      </w:r>
      <w:r w:rsidR="008C7A93" w:rsidRPr="00DF1530">
        <w:rPr>
          <w:lang w:val="ru-RU"/>
        </w:rPr>
        <w:t xml:space="preserve"> </w:t>
      </w:r>
      <w:r w:rsidR="00090F32" w:rsidRPr="00DF1530">
        <w:rPr>
          <w:lang w:val="ru-RU"/>
        </w:rPr>
        <w:t>и предоставлении поддержки в создании новых предприятий для выпускников</w:t>
      </w:r>
      <w:r w:rsidR="008C7A93" w:rsidRPr="00DF1530">
        <w:rPr>
          <w:lang w:val="ru-RU"/>
        </w:rPr>
        <w:t xml:space="preserve">, </w:t>
      </w:r>
      <w:r w:rsidR="00592D7B" w:rsidRPr="00DF1530">
        <w:rPr>
          <w:lang w:val="ru-RU"/>
        </w:rPr>
        <w:t>к примеру</w:t>
      </w:r>
      <w:r w:rsidR="00090F32" w:rsidRPr="00DF1530">
        <w:rPr>
          <w:lang w:val="ru-RU"/>
        </w:rPr>
        <w:t>,</w:t>
      </w:r>
      <w:r w:rsidR="008C7A93" w:rsidRPr="00DF1530">
        <w:rPr>
          <w:lang w:val="ru-RU"/>
        </w:rPr>
        <w:t xml:space="preserve"> </w:t>
      </w:r>
      <w:r w:rsidR="00090F32" w:rsidRPr="00DF1530">
        <w:rPr>
          <w:lang w:val="ru-RU"/>
        </w:rPr>
        <w:t>посредством студенческих клубов предпринимателей и университетских инкубаторов для выпускников</w:t>
      </w:r>
      <w:r w:rsidR="008C7A93" w:rsidRPr="00DF1530">
        <w:rPr>
          <w:lang w:val="ru-RU"/>
        </w:rPr>
        <w:t xml:space="preserve">. </w:t>
      </w:r>
      <w:r w:rsidR="00090F32" w:rsidRPr="00DF1530">
        <w:rPr>
          <w:lang w:val="ru-RU"/>
        </w:rPr>
        <w:t>Такого рода меры могут быть приняты с течением времени во всей системе образования в учебных заведениях</w:t>
      </w:r>
      <w:r w:rsidR="008C7A93" w:rsidRPr="00DF1530">
        <w:rPr>
          <w:lang w:val="ru-RU"/>
        </w:rPr>
        <w:t>.</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10795B" w:rsidRPr="00DF1530">
        <w:rPr>
          <w:lang w:val="ru-RU"/>
        </w:rPr>
        <w:t>Должна быть также расширена поддержка создания новых предприятий взрослым населением</w:t>
      </w:r>
      <w:r w:rsidR="008C7A93" w:rsidRPr="00DF1530">
        <w:rPr>
          <w:lang w:val="ru-RU"/>
        </w:rPr>
        <w:t xml:space="preserve">. </w:t>
      </w:r>
      <w:r w:rsidR="0010795B" w:rsidRPr="00DF1530">
        <w:rPr>
          <w:lang w:val="ru-RU"/>
        </w:rPr>
        <w:t>Это направление должно стимулироваться национальной</w:t>
      </w:r>
      <w:r w:rsidR="008C7A93" w:rsidRPr="00DF1530">
        <w:rPr>
          <w:lang w:val="ru-RU"/>
        </w:rPr>
        <w:t xml:space="preserve"> </w:t>
      </w:r>
      <w:r w:rsidR="0010795B" w:rsidRPr="00DF1530">
        <w:rPr>
          <w:lang w:val="ru-RU"/>
        </w:rPr>
        <w:t xml:space="preserve">программой пропаганды </w:t>
      </w:r>
      <w:r w:rsidR="00834072" w:rsidRPr="00DF1530">
        <w:rPr>
          <w:lang w:val="ru-RU"/>
        </w:rPr>
        <w:t>предпринимательск</w:t>
      </w:r>
      <w:r w:rsidR="0010795B" w:rsidRPr="00DF1530">
        <w:rPr>
          <w:lang w:val="ru-RU"/>
        </w:rPr>
        <w:t>ой</w:t>
      </w:r>
      <w:r w:rsidR="00834072" w:rsidRPr="00DF1530">
        <w:rPr>
          <w:lang w:val="ru-RU"/>
        </w:rPr>
        <w:t xml:space="preserve"> деятельност</w:t>
      </w:r>
      <w:r w:rsidR="0010795B" w:rsidRPr="00DF1530">
        <w:rPr>
          <w:lang w:val="ru-RU"/>
        </w:rPr>
        <w:t>и</w:t>
      </w:r>
      <w:r w:rsidR="008C7A93" w:rsidRPr="00DF1530">
        <w:rPr>
          <w:lang w:val="ru-RU"/>
        </w:rPr>
        <w:t xml:space="preserve"> </w:t>
      </w:r>
      <w:r w:rsidR="0010795B" w:rsidRPr="00DF1530">
        <w:rPr>
          <w:lang w:val="ru-RU"/>
        </w:rPr>
        <w:t>с целью улучшения культуры предпринимательства</w:t>
      </w:r>
      <w:r w:rsidR="008C7A93" w:rsidRPr="00DF1530">
        <w:rPr>
          <w:lang w:val="ru-RU"/>
        </w:rPr>
        <w:t xml:space="preserve"> </w:t>
      </w:r>
      <w:r w:rsidR="0010795B" w:rsidRPr="00DF1530">
        <w:rPr>
          <w:lang w:val="ru-RU"/>
        </w:rPr>
        <w:t>среди молодежи и взрослого населения</w:t>
      </w:r>
      <w:r w:rsidR="008C7A93" w:rsidRPr="00DF1530">
        <w:rPr>
          <w:lang w:val="ru-RU"/>
        </w:rPr>
        <w:t xml:space="preserve">. </w:t>
      </w:r>
      <w:r w:rsidR="0010795B" w:rsidRPr="00DF1530">
        <w:rPr>
          <w:lang w:val="ru-RU"/>
        </w:rPr>
        <w:t>Эта кампания может координироваться национальным</w:t>
      </w:r>
      <w:r w:rsidR="008C7A93" w:rsidRPr="00DF1530">
        <w:rPr>
          <w:lang w:val="ru-RU"/>
        </w:rPr>
        <w:t xml:space="preserve"> </w:t>
      </w:r>
      <w:r w:rsidR="00CD71D1" w:rsidRPr="00DF1530">
        <w:rPr>
          <w:lang w:val="ru-RU"/>
        </w:rPr>
        <w:t>правительство</w:t>
      </w:r>
      <w:r w:rsidR="0010795B" w:rsidRPr="00DF1530">
        <w:rPr>
          <w:lang w:val="ru-RU"/>
        </w:rPr>
        <w:t>м</w:t>
      </w:r>
      <w:r w:rsidR="008C7A93" w:rsidRPr="00DF1530">
        <w:rPr>
          <w:lang w:val="ru-RU"/>
        </w:rPr>
        <w:t xml:space="preserve"> </w:t>
      </w:r>
      <w:r w:rsidR="0010795B" w:rsidRPr="00DF1530">
        <w:rPr>
          <w:lang w:val="ru-RU"/>
        </w:rPr>
        <w:t>с участием организаций из частного сектора и средств массовой информации</w:t>
      </w:r>
      <w:r w:rsidR="008C7A93" w:rsidRPr="00DF1530">
        <w:rPr>
          <w:lang w:val="ru-RU"/>
        </w:rPr>
        <w:t xml:space="preserve">.  </w:t>
      </w:r>
      <w:r w:rsidR="00795AE6" w:rsidRPr="00DF1530">
        <w:rPr>
          <w:lang w:val="ru-RU"/>
        </w:rPr>
        <w:t>Кроме того,</w:t>
      </w:r>
      <w:r w:rsidR="008C7A93" w:rsidRPr="00DF1530">
        <w:rPr>
          <w:lang w:val="ru-RU"/>
        </w:rPr>
        <w:t xml:space="preserve"> </w:t>
      </w:r>
      <w:r w:rsidR="0010795B" w:rsidRPr="00DF1530">
        <w:rPr>
          <w:lang w:val="ru-RU"/>
        </w:rPr>
        <w:t>каждый, кто намерен создать предприятие</w:t>
      </w:r>
      <w:r w:rsidR="008C7A93" w:rsidRPr="00DF1530">
        <w:rPr>
          <w:lang w:val="ru-RU"/>
        </w:rPr>
        <w:t xml:space="preserve">, </w:t>
      </w:r>
      <w:r w:rsidR="0010795B" w:rsidRPr="00DF1530">
        <w:rPr>
          <w:lang w:val="ru-RU"/>
        </w:rPr>
        <w:t>независимо от возраста</w:t>
      </w:r>
      <w:r w:rsidR="008C7A93" w:rsidRPr="00DF1530">
        <w:rPr>
          <w:lang w:val="ru-RU"/>
        </w:rPr>
        <w:t xml:space="preserve">, </w:t>
      </w:r>
      <w:r w:rsidR="0010795B" w:rsidRPr="00DF1530">
        <w:rPr>
          <w:lang w:val="ru-RU"/>
        </w:rPr>
        <w:t xml:space="preserve">должен иметь возможность пройти стандартный базовый курс обучения </w:t>
      </w:r>
      <w:r w:rsidR="00834072" w:rsidRPr="00DF1530">
        <w:rPr>
          <w:lang w:val="ru-RU"/>
        </w:rPr>
        <w:t>предпринимательск</w:t>
      </w:r>
      <w:r w:rsidR="0010795B" w:rsidRPr="00DF1530">
        <w:rPr>
          <w:lang w:val="ru-RU"/>
        </w:rPr>
        <w:t>ой</w:t>
      </w:r>
      <w:r w:rsidR="00834072" w:rsidRPr="00DF1530">
        <w:rPr>
          <w:lang w:val="ru-RU"/>
        </w:rPr>
        <w:t xml:space="preserve"> деятельност</w:t>
      </w:r>
      <w:r w:rsidR="0010795B" w:rsidRPr="00DF1530">
        <w:rPr>
          <w:lang w:val="ru-RU"/>
        </w:rPr>
        <w:t>и,</w:t>
      </w:r>
      <w:r w:rsidR="008C7A93" w:rsidRPr="00DF1530">
        <w:rPr>
          <w:lang w:val="ru-RU"/>
        </w:rPr>
        <w:t xml:space="preserve"> </w:t>
      </w:r>
      <w:r w:rsidR="0010795B" w:rsidRPr="00DF1530">
        <w:rPr>
          <w:lang w:val="ru-RU"/>
        </w:rPr>
        <w:t>включающий технические вопросы создания предприятия и управления им</w:t>
      </w:r>
      <w:r w:rsidR="008C7A93" w:rsidRPr="00DF1530">
        <w:rPr>
          <w:lang w:val="ru-RU"/>
        </w:rPr>
        <w:t xml:space="preserve">, </w:t>
      </w:r>
      <w:r w:rsidR="0010795B" w:rsidRPr="00DF1530">
        <w:rPr>
          <w:lang w:val="ru-RU"/>
        </w:rPr>
        <w:t>а также инструкции по основным средствам достижения успеха в предпринимательской деятельности</w:t>
      </w:r>
      <w:r w:rsidR="008C7A93" w:rsidRPr="00DF1530">
        <w:rPr>
          <w:lang w:val="ru-RU"/>
        </w:rPr>
        <w:t xml:space="preserve">. </w:t>
      </w:r>
      <w:r w:rsidR="0010795B" w:rsidRPr="00DF1530">
        <w:rPr>
          <w:lang w:val="ru-RU"/>
        </w:rPr>
        <w:t>Обучение может проводиться в форме очных занятий или заочно по Интернету</w:t>
      </w:r>
      <w:r w:rsidR="008C7A93" w:rsidRPr="00DF1530">
        <w:rPr>
          <w:lang w:val="ru-RU"/>
        </w:rPr>
        <w:t xml:space="preserve">. </w:t>
      </w:r>
    </w:p>
    <w:p w:rsidR="008C7A93" w:rsidRPr="00DF1530" w:rsidRDefault="00521FCA" w:rsidP="008C7A93">
      <w:pPr>
        <w:pStyle w:val="31"/>
        <w:rPr>
          <w:lang w:val="ru-RU"/>
        </w:rPr>
      </w:pPr>
      <w:r w:rsidRPr="00DF1530">
        <w:rPr>
          <w:lang w:val="ru-RU"/>
        </w:rPr>
        <w:t xml:space="preserve">Возможности осуществления программы по </w:t>
      </w:r>
      <w:r w:rsidR="00834072" w:rsidRPr="00DF1530">
        <w:rPr>
          <w:lang w:val="ru-RU"/>
        </w:rPr>
        <w:t>предпринимательск</w:t>
      </w:r>
      <w:r w:rsidRPr="00DF1530">
        <w:rPr>
          <w:lang w:val="ru-RU"/>
        </w:rPr>
        <w:t>ой деятельности с высокими темпами роста</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78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21FCA" w:rsidRPr="00DF1530">
        <w:rPr>
          <w:lang w:val="ru-RU"/>
        </w:rPr>
        <w:t>З</w:t>
      </w:r>
      <w:r w:rsidR="00834072" w:rsidRPr="00DF1530">
        <w:rPr>
          <w:lang w:val="ru-RU"/>
        </w:rPr>
        <w:t>начительный</w:t>
      </w:r>
      <w:r w:rsidR="008C7A93" w:rsidRPr="00DF1530">
        <w:rPr>
          <w:lang w:val="ru-RU"/>
        </w:rPr>
        <w:t xml:space="preserve"> </w:t>
      </w:r>
      <w:r w:rsidR="00521FCA" w:rsidRPr="00DF1530">
        <w:rPr>
          <w:lang w:val="ru-RU"/>
        </w:rPr>
        <w:t xml:space="preserve">пробел в действующих </w:t>
      </w:r>
      <w:r w:rsidR="00EB1372" w:rsidRPr="00DF1530">
        <w:rPr>
          <w:lang w:val="ru-RU"/>
        </w:rPr>
        <w:t>федеральн</w:t>
      </w:r>
      <w:r w:rsidR="00521FCA" w:rsidRPr="00DF1530">
        <w:rPr>
          <w:lang w:val="ru-RU"/>
        </w:rPr>
        <w:t>ых программах</w:t>
      </w:r>
      <w:r w:rsidR="008C7A93" w:rsidRPr="00DF1530">
        <w:rPr>
          <w:lang w:val="ru-RU"/>
        </w:rPr>
        <w:t xml:space="preserve"> </w:t>
      </w:r>
      <w:r w:rsidR="00521FCA" w:rsidRPr="00DF1530">
        <w:rPr>
          <w:lang w:val="ru-RU"/>
        </w:rPr>
        <w:t xml:space="preserve">по </w:t>
      </w:r>
      <w:r w:rsidR="003F5CB4" w:rsidRPr="00DF1530">
        <w:rPr>
          <w:lang w:val="ru-RU"/>
        </w:rPr>
        <w:t>МСП и предпринимательск</w:t>
      </w:r>
      <w:r w:rsidR="00521FCA" w:rsidRPr="00DF1530">
        <w:rPr>
          <w:lang w:val="ru-RU"/>
        </w:rPr>
        <w:t>ой</w:t>
      </w:r>
      <w:r w:rsidR="003F5CB4" w:rsidRPr="00DF1530">
        <w:rPr>
          <w:lang w:val="ru-RU"/>
        </w:rPr>
        <w:t xml:space="preserve"> деятельност</w:t>
      </w:r>
      <w:r w:rsidR="00521FCA" w:rsidRPr="00DF1530">
        <w:rPr>
          <w:lang w:val="ru-RU"/>
        </w:rPr>
        <w:t>и</w:t>
      </w:r>
      <w:r w:rsidR="008C7A93" w:rsidRPr="00DF1530">
        <w:rPr>
          <w:lang w:val="ru-RU"/>
        </w:rPr>
        <w:t xml:space="preserve"> </w:t>
      </w:r>
      <w:r w:rsidR="00BD465D" w:rsidRPr="00DF1530">
        <w:rPr>
          <w:lang w:val="ru-RU"/>
        </w:rPr>
        <w:t xml:space="preserve">– </w:t>
      </w:r>
      <w:r w:rsidR="005E7C99" w:rsidRPr="00DF1530">
        <w:rPr>
          <w:lang w:val="ru-RU"/>
        </w:rPr>
        <w:t xml:space="preserve">пакет конкретных специальных мер для выбранной группы новых вновь создаваемых предприятий и </w:t>
      </w:r>
      <w:r w:rsidR="00F736B7" w:rsidRPr="00DF1530">
        <w:rPr>
          <w:lang w:val="ru-RU"/>
        </w:rPr>
        <w:t>МСП</w:t>
      </w:r>
      <w:r w:rsidR="005E7C99" w:rsidRPr="00DF1530">
        <w:rPr>
          <w:lang w:val="ru-RU"/>
        </w:rPr>
        <w:t xml:space="preserve"> с высоким потенциалом роста</w:t>
      </w:r>
      <w:r w:rsidR="008C7A93" w:rsidRPr="00DF1530">
        <w:rPr>
          <w:lang w:val="ru-RU"/>
        </w:rPr>
        <w:t xml:space="preserve">. </w:t>
      </w:r>
      <w:r w:rsidR="005E7C99" w:rsidRPr="00DF1530">
        <w:rPr>
          <w:lang w:val="ru-RU"/>
        </w:rPr>
        <w:t xml:space="preserve">Эта группа </w:t>
      </w:r>
      <w:r w:rsidR="00592D7B" w:rsidRPr="00DF1530">
        <w:rPr>
          <w:lang w:val="ru-RU"/>
        </w:rPr>
        <w:t>предприятий</w:t>
      </w:r>
      <w:r w:rsidR="008C7A93" w:rsidRPr="00DF1530">
        <w:rPr>
          <w:lang w:val="ru-RU"/>
        </w:rPr>
        <w:t xml:space="preserve"> </w:t>
      </w:r>
      <w:r w:rsidR="005E7C99" w:rsidRPr="00DF1530">
        <w:rPr>
          <w:lang w:val="ru-RU"/>
        </w:rPr>
        <w:t xml:space="preserve">и руководящие ими </w:t>
      </w:r>
      <w:r w:rsidR="00347E3A" w:rsidRPr="00DF1530">
        <w:rPr>
          <w:lang w:val="ru-RU"/>
        </w:rPr>
        <w:t>предприниматели</w:t>
      </w:r>
      <w:r w:rsidR="008C7A93" w:rsidRPr="00DF1530">
        <w:rPr>
          <w:lang w:val="ru-RU"/>
        </w:rPr>
        <w:t xml:space="preserve"> </w:t>
      </w:r>
      <w:r w:rsidR="005E7C99" w:rsidRPr="00DF1530">
        <w:rPr>
          <w:lang w:val="ru-RU"/>
        </w:rPr>
        <w:t>являются одним</w:t>
      </w:r>
      <w:r w:rsidR="00FF78BB" w:rsidRPr="00DF1530">
        <w:rPr>
          <w:lang w:val="ru-RU"/>
        </w:rPr>
        <w:t>и</w:t>
      </w:r>
      <w:r w:rsidR="005E7C99" w:rsidRPr="00DF1530">
        <w:rPr>
          <w:lang w:val="ru-RU"/>
        </w:rPr>
        <w:t xml:space="preserve"> из основных </w:t>
      </w:r>
      <w:r w:rsidR="00FF78BB" w:rsidRPr="00DF1530">
        <w:rPr>
          <w:lang w:val="ru-RU"/>
        </w:rPr>
        <w:t>су</w:t>
      </w:r>
      <w:r w:rsidR="005E7C99" w:rsidRPr="00DF1530">
        <w:rPr>
          <w:lang w:val="ru-RU"/>
        </w:rPr>
        <w:t>бъектов политики во многих других странах</w:t>
      </w:r>
      <w:r w:rsidR="008C7A93" w:rsidRPr="00DF1530">
        <w:rPr>
          <w:lang w:val="ru-RU"/>
        </w:rPr>
        <w:t xml:space="preserve">. </w:t>
      </w:r>
      <w:r w:rsidR="00E57A1C" w:rsidRPr="00DF1530">
        <w:rPr>
          <w:lang w:val="ru-RU"/>
        </w:rPr>
        <w:t>Их поддержка</w:t>
      </w:r>
      <w:r w:rsidR="008C7A93" w:rsidRPr="00DF1530">
        <w:rPr>
          <w:lang w:val="ru-RU"/>
        </w:rPr>
        <w:t xml:space="preserve"> </w:t>
      </w:r>
      <w:r w:rsidR="00E57A1C" w:rsidRPr="00DF1530">
        <w:rPr>
          <w:lang w:val="ru-RU"/>
        </w:rPr>
        <w:t>требует</w:t>
      </w:r>
      <w:r w:rsidR="008C7A93" w:rsidRPr="00DF1530">
        <w:rPr>
          <w:lang w:val="ru-RU"/>
        </w:rPr>
        <w:t xml:space="preserve"> </w:t>
      </w:r>
      <w:r w:rsidR="00E57A1C" w:rsidRPr="00DF1530">
        <w:rPr>
          <w:lang w:val="ru-RU"/>
        </w:rPr>
        <w:t>более интенсивного подхода, чем поддержк</w:t>
      </w:r>
      <w:r w:rsidR="00FF78BB" w:rsidRPr="00DF1530">
        <w:rPr>
          <w:lang w:val="ru-RU"/>
        </w:rPr>
        <w:t>а</w:t>
      </w:r>
      <w:r w:rsidR="00E57A1C" w:rsidRPr="00DF1530">
        <w:rPr>
          <w:lang w:val="ru-RU"/>
        </w:rPr>
        <w:t xml:space="preserve"> вновь создаваемых предприятий и </w:t>
      </w:r>
      <w:r w:rsidR="00F736B7" w:rsidRPr="00DF1530">
        <w:rPr>
          <w:lang w:val="ru-RU"/>
        </w:rPr>
        <w:t>МСП</w:t>
      </w:r>
      <w:r w:rsidR="008C7A93" w:rsidRPr="00DF1530">
        <w:rPr>
          <w:lang w:val="ru-RU"/>
        </w:rPr>
        <w:t xml:space="preserve"> </w:t>
      </w:r>
      <w:r w:rsidR="00B7017E" w:rsidRPr="00DF1530">
        <w:rPr>
          <w:lang w:val="ru-RU"/>
        </w:rPr>
        <w:t>в целом</w:t>
      </w:r>
      <w:r w:rsidR="008C7A93" w:rsidRPr="00DF1530">
        <w:rPr>
          <w:lang w:val="ru-RU"/>
        </w:rPr>
        <w:t xml:space="preserve">. </w:t>
      </w:r>
      <w:r w:rsidR="00E57A1C" w:rsidRPr="00DF1530">
        <w:rPr>
          <w:lang w:val="ru-RU"/>
        </w:rPr>
        <w:t>Соответствующая</w:t>
      </w:r>
      <w:r w:rsidR="008C7A93" w:rsidRPr="00DF1530">
        <w:rPr>
          <w:lang w:val="ru-RU"/>
        </w:rPr>
        <w:t xml:space="preserve"> </w:t>
      </w:r>
      <w:r w:rsidR="0023536F" w:rsidRPr="00DF1530">
        <w:rPr>
          <w:lang w:val="ru-RU"/>
        </w:rPr>
        <w:t>программа</w:t>
      </w:r>
      <w:r w:rsidR="008C7A93" w:rsidRPr="00DF1530">
        <w:rPr>
          <w:lang w:val="ru-RU"/>
        </w:rPr>
        <w:t xml:space="preserve"> </w:t>
      </w:r>
      <w:r w:rsidR="00E57A1C" w:rsidRPr="00DF1530">
        <w:rPr>
          <w:lang w:val="ru-RU"/>
        </w:rPr>
        <w:t xml:space="preserve">должна предусматривать возможность выявления предприятий и </w:t>
      </w:r>
      <w:r w:rsidR="00347E3A" w:rsidRPr="00DF1530">
        <w:rPr>
          <w:lang w:val="ru-RU"/>
        </w:rPr>
        <w:t>предпринимател</w:t>
      </w:r>
      <w:r w:rsidR="00E57A1C" w:rsidRPr="00DF1530">
        <w:rPr>
          <w:lang w:val="ru-RU"/>
        </w:rPr>
        <w:t>ей</w:t>
      </w:r>
      <w:r w:rsidR="008C7A93" w:rsidRPr="00DF1530">
        <w:rPr>
          <w:lang w:val="ru-RU"/>
        </w:rPr>
        <w:t xml:space="preserve"> </w:t>
      </w:r>
      <w:r w:rsidR="00E57A1C" w:rsidRPr="00DF1530">
        <w:rPr>
          <w:lang w:val="ru-RU"/>
        </w:rPr>
        <w:t xml:space="preserve">с высоким потенциалом роста на основе </w:t>
      </w:r>
      <w:r w:rsidR="00FF2A54" w:rsidRPr="00DF1530">
        <w:rPr>
          <w:lang w:val="ru-RU"/>
        </w:rPr>
        <w:t xml:space="preserve">ключевых </w:t>
      </w:r>
      <w:r w:rsidR="00E57A1C" w:rsidRPr="00DF1530">
        <w:rPr>
          <w:lang w:val="ru-RU"/>
        </w:rPr>
        <w:t>характеристик</w:t>
      </w:r>
      <w:r w:rsidR="008C7A93" w:rsidRPr="00DF1530">
        <w:rPr>
          <w:lang w:val="ru-RU"/>
        </w:rPr>
        <w:t xml:space="preserve"> </w:t>
      </w:r>
      <w:r w:rsidR="00E57A1C" w:rsidRPr="00DF1530">
        <w:rPr>
          <w:lang w:val="ru-RU"/>
        </w:rPr>
        <w:t xml:space="preserve">этих компаний и </w:t>
      </w:r>
      <w:r w:rsidR="00FF2A54" w:rsidRPr="00DF1530">
        <w:rPr>
          <w:lang w:val="ru-RU"/>
        </w:rPr>
        <w:t xml:space="preserve">встреч </w:t>
      </w:r>
      <w:r w:rsidR="00E57A1C" w:rsidRPr="00DF1530">
        <w:rPr>
          <w:lang w:val="ru-RU"/>
        </w:rPr>
        <w:t xml:space="preserve">с их руководством </w:t>
      </w:r>
      <w:r w:rsidR="00FF2A54" w:rsidRPr="00DF1530">
        <w:rPr>
          <w:lang w:val="ru-RU"/>
        </w:rPr>
        <w:t xml:space="preserve">для </w:t>
      </w:r>
      <w:r w:rsidR="00E57A1C" w:rsidRPr="00DF1530">
        <w:rPr>
          <w:lang w:val="ru-RU"/>
        </w:rPr>
        <w:t>определения перспектив роста</w:t>
      </w:r>
      <w:r w:rsidR="008C7A93" w:rsidRPr="00DF1530">
        <w:rPr>
          <w:lang w:val="ru-RU"/>
        </w:rPr>
        <w:t xml:space="preserve">. </w:t>
      </w:r>
      <w:r w:rsidR="00E57A1C" w:rsidRPr="00DF1530">
        <w:rPr>
          <w:lang w:val="ru-RU"/>
        </w:rPr>
        <w:t xml:space="preserve">Затем выбранным </w:t>
      </w:r>
      <w:r w:rsidR="00FF78BB" w:rsidRPr="00DF1530">
        <w:rPr>
          <w:lang w:val="ru-RU"/>
        </w:rPr>
        <w:t>предприятиям</w:t>
      </w:r>
      <w:r w:rsidR="008C7A93" w:rsidRPr="00DF1530">
        <w:rPr>
          <w:lang w:val="ru-RU"/>
        </w:rPr>
        <w:t xml:space="preserve"> </w:t>
      </w:r>
      <w:r w:rsidR="00E57A1C" w:rsidRPr="00DF1530">
        <w:rPr>
          <w:lang w:val="ru-RU"/>
        </w:rPr>
        <w:t>должен быть предложен пакет мер поддержки,</w:t>
      </w:r>
      <w:r w:rsidR="008C7A93" w:rsidRPr="00DF1530">
        <w:rPr>
          <w:lang w:val="ru-RU"/>
        </w:rPr>
        <w:t xml:space="preserve"> </w:t>
      </w:r>
      <w:r w:rsidR="00297F6F" w:rsidRPr="00DF1530">
        <w:rPr>
          <w:lang w:val="ru-RU"/>
        </w:rPr>
        <w:t>включая</w:t>
      </w:r>
      <w:r w:rsidR="008C7A93" w:rsidRPr="00DF1530">
        <w:rPr>
          <w:lang w:val="ru-RU"/>
        </w:rPr>
        <w:t xml:space="preserve"> </w:t>
      </w:r>
      <w:r w:rsidR="00E57A1C" w:rsidRPr="00DF1530">
        <w:rPr>
          <w:lang w:val="ru-RU"/>
        </w:rPr>
        <w:t>анализ потребностей компании</w:t>
      </w:r>
      <w:r w:rsidR="008C7A93" w:rsidRPr="00DF1530">
        <w:rPr>
          <w:lang w:val="ru-RU"/>
        </w:rPr>
        <w:t xml:space="preserve">, </w:t>
      </w:r>
      <w:r w:rsidR="00E57A1C" w:rsidRPr="00DF1530">
        <w:rPr>
          <w:lang w:val="ru-RU"/>
        </w:rPr>
        <w:t xml:space="preserve">инструктаж и наставничество со стороны опытных </w:t>
      </w:r>
      <w:r w:rsidR="00347E3A" w:rsidRPr="00DF1530">
        <w:rPr>
          <w:lang w:val="ru-RU"/>
        </w:rPr>
        <w:t>предпринимател</w:t>
      </w:r>
      <w:r w:rsidR="00E57A1C" w:rsidRPr="00DF1530">
        <w:rPr>
          <w:lang w:val="ru-RU"/>
        </w:rPr>
        <w:t>ей</w:t>
      </w:r>
      <w:r w:rsidR="008C7A93" w:rsidRPr="00DF1530">
        <w:rPr>
          <w:lang w:val="ru-RU"/>
        </w:rPr>
        <w:t xml:space="preserve">, </w:t>
      </w:r>
      <w:r w:rsidR="00E57A1C" w:rsidRPr="00DF1530">
        <w:rPr>
          <w:lang w:val="ru-RU"/>
        </w:rPr>
        <w:t>консультационные услуги</w:t>
      </w:r>
      <w:r w:rsidR="008C7A93" w:rsidRPr="00DF1530">
        <w:rPr>
          <w:lang w:val="ru-RU"/>
        </w:rPr>
        <w:t xml:space="preserve">, </w:t>
      </w:r>
      <w:r w:rsidR="00E57A1C" w:rsidRPr="00DF1530">
        <w:rPr>
          <w:lang w:val="ru-RU"/>
        </w:rPr>
        <w:t>технологическое развитие</w:t>
      </w:r>
      <w:r w:rsidR="008C7A93" w:rsidRPr="00DF1530">
        <w:rPr>
          <w:lang w:val="ru-RU"/>
        </w:rPr>
        <w:t xml:space="preserve">, </w:t>
      </w:r>
      <w:r w:rsidR="00E57A1C" w:rsidRPr="00DF1530">
        <w:rPr>
          <w:lang w:val="ru-RU"/>
        </w:rPr>
        <w:t>обучение руководства в области стратегий роста и освоения рынка</w:t>
      </w:r>
      <w:r w:rsidR="008C7A93" w:rsidRPr="00DF1530">
        <w:rPr>
          <w:lang w:val="ru-RU"/>
        </w:rPr>
        <w:t xml:space="preserve">, </w:t>
      </w:r>
      <w:r w:rsidR="00FF2A54" w:rsidRPr="00DF1530">
        <w:rPr>
          <w:lang w:val="ru-RU"/>
        </w:rPr>
        <w:t xml:space="preserve">сетевое развитие </w:t>
      </w:r>
      <w:r w:rsidR="00E57A1C" w:rsidRPr="00DF1530">
        <w:rPr>
          <w:lang w:val="ru-RU"/>
        </w:rPr>
        <w:t>и доступ к начальному и венчурному капиталу</w:t>
      </w:r>
      <w:r w:rsidR="008C7A93" w:rsidRPr="00DF1530">
        <w:rPr>
          <w:lang w:val="ru-RU"/>
        </w:rPr>
        <w:t xml:space="preserve">. </w:t>
      </w:r>
      <w:r w:rsidR="00E57A1C" w:rsidRPr="00DF1530">
        <w:rPr>
          <w:lang w:val="ru-RU"/>
        </w:rPr>
        <w:t xml:space="preserve">Этим </w:t>
      </w:r>
      <w:r w:rsidR="00FF78BB" w:rsidRPr="00DF1530">
        <w:rPr>
          <w:lang w:val="ru-RU"/>
        </w:rPr>
        <w:t xml:space="preserve">предприятиям </w:t>
      </w:r>
      <w:r w:rsidR="00E57A1C" w:rsidRPr="00DF1530">
        <w:rPr>
          <w:lang w:val="ru-RU"/>
        </w:rPr>
        <w:t>может также помочь бизнес-акселератор</w:t>
      </w:r>
      <w:r w:rsidR="008C7A93" w:rsidRPr="00DF1530">
        <w:rPr>
          <w:lang w:val="ru-RU"/>
        </w:rPr>
        <w:t xml:space="preserve"> </w:t>
      </w:r>
      <w:r w:rsidR="00BD465D" w:rsidRPr="00DF1530">
        <w:rPr>
          <w:lang w:val="ru-RU"/>
        </w:rPr>
        <w:t xml:space="preserve">– </w:t>
      </w:r>
      <w:r w:rsidR="00FB68A3" w:rsidRPr="00DF1530">
        <w:rPr>
          <w:lang w:val="ru-RU"/>
        </w:rPr>
        <w:t>разновидность бизнес-инкубатора</w:t>
      </w:r>
      <w:r w:rsidR="00FF2A54" w:rsidRPr="00DF1530">
        <w:rPr>
          <w:lang w:val="ru-RU"/>
        </w:rPr>
        <w:t>,</w:t>
      </w:r>
      <w:r w:rsidR="00FB68A3" w:rsidRPr="00DF1530">
        <w:rPr>
          <w:lang w:val="ru-RU"/>
        </w:rPr>
        <w:t xml:space="preserve"> услуги </w:t>
      </w:r>
      <w:r w:rsidR="00FF2A54" w:rsidRPr="00DF1530">
        <w:rPr>
          <w:lang w:val="ru-RU"/>
        </w:rPr>
        <w:t xml:space="preserve">которого </w:t>
      </w:r>
      <w:r w:rsidR="00FB68A3" w:rsidRPr="00DF1530">
        <w:rPr>
          <w:lang w:val="ru-RU"/>
        </w:rPr>
        <w:t xml:space="preserve">специально предназначены для </w:t>
      </w:r>
      <w:r w:rsidR="00834072" w:rsidRPr="00DF1530">
        <w:rPr>
          <w:lang w:val="ru-RU"/>
        </w:rPr>
        <w:t>предприяти</w:t>
      </w:r>
      <w:r w:rsidR="00FB68A3" w:rsidRPr="00DF1530">
        <w:rPr>
          <w:lang w:val="ru-RU"/>
        </w:rPr>
        <w:t>й с высокими темпами роста</w:t>
      </w:r>
      <w:r w:rsidR="008C7A93" w:rsidRPr="00DF1530">
        <w:rPr>
          <w:lang w:val="ru-RU"/>
        </w:rPr>
        <w:t xml:space="preserve">. </w:t>
      </w:r>
    </w:p>
    <w:p w:rsidR="008C7A93" w:rsidRPr="00DF1530" w:rsidRDefault="00FF2A54" w:rsidP="008C7A93">
      <w:pPr>
        <w:pStyle w:val="31"/>
        <w:rPr>
          <w:lang w:val="ru-RU"/>
        </w:rPr>
      </w:pPr>
      <w:r w:rsidRPr="00DF1530">
        <w:rPr>
          <w:lang w:val="ru-RU"/>
        </w:rPr>
        <w:t>Возможности осуществления программы развития поставщиков</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79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FF2A54" w:rsidRPr="00DF1530">
        <w:rPr>
          <w:lang w:val="ru-RU"/>
        </w:rPr>
        <w:t xml:space="preserve">В настоящее время в Российской Федерации также нет </w:t>
      </w:r>
      <w:r w:rsidR="00EB1372" w:rsidRPr="00DF1530">
        <w:rPr>
          <w:lang w:val="ru-RU"/>
        </w:rPr>
        <w:t>федеральн</w:t>
      </w:r>
      <w:r w:rsidR="00FF2A54" w:rsidRPr="00DF1530">
        <w:rPr>
          <w:lang w:val="ru-RU"/>
        </w:rPr>
        <w:t>о</w:t>
      </w:r>
      <w:r w:rsidR="00EB1372" w:rsidRPr="00DF1530">
        <w:rPr>
          <w:lang w:val="ru-RU"/>
        </w:rPr>
        <w:t>й</w:t>
      </w:r>
      <w:r w:rsidR="008C7A93" w:rsidRPr="00DF1530">
        <w:rPr>
          <w:lang w:val="ru-RU"/>
        </w:rPr>
        <w:t xml:space="preserve"> </w:t>
      </w:r>
      <w:r w:rsidR="0023536F" w:rsidRPr="00DF1530">
        <w:rPr>
          <w:lang w:val="ru-RU"/>
        </w:rPr>
        <w:t>программ</w:t>
      </w:r>
      <w:r w:rsidR="00FF2A54" w:rsidRPr="00DF1530">
        <w:rPr>
          <w:lang w:val="ru-RU"/>
        </w:rPr>
        <w:t>ы,</w:t>
      </w:r>
      <w:r w:rsidR="008C7A93" w:rsidRPr="00DF1530">
        <w:rPr>
          <w:lang w:val="ru-RU"/>
        </w:rPr>
        <w:t xml:space="preserve"> </w:t>
      </w:r>
      <w:r w:rsidR="00FF2A54" w:rsidRPr="00DF1530">
        <w:rPr>
          <w:lang w:val="ru-RU"/>
        </w:rPr>
        <w:t xml:space="preserve">специально нацеленной на формирование связей цепочек поставщиков для </w:t>
      </w:r>
      <w:r w:rsidR="008C7A93" w:rsidRPr="00DF1530">
        <w:rPr>
          <w:lang w:val="ru-RU"/>
        </w:rPr>
        <w:t xml:space="preserve">FDI </w:t>
      </w:r>
      <w:r w:rsidR="00FF2A54" w:rsidRPr="00DF1530">
        <w:rPr>
          <w:lang w:val="ru-RU"/>
        </w:rPr>
        <w:t>с ориентированными на внутренний рынок инвестициями</w:t>
      </w:r>
      <w:r w:rsidR="008C7A93" w:rsidRPr="00DF1530">
        <w:rPr>
          <w:lang w:val="ru-RU"/>
        </w:rPr>
        <w:t xml:space="preserve">, </w:t>
      </w:r>
      <w:r w:rsidR="00F736B7" w:rsidRPr="00DF1530">
        <w:rPr>
          <w:lang w:val="ru-RU"/>
        </w:rPr>
        <w:t>хотя</w:t>
      </w:r>
      <w:r w:rsidR="008C7A93" w:rsidRPr="00DF1530">
        <w:rPr>
          <w:lang w:val="ru-RU"/>
        </w:rPr>
        <w:t xml:space="preserve"> </w:t>
      </w:r>
      <w:r w:rsidR="00FF2A54" w:rsidRPr="00DF1530">
        <w:rPr>
          <w:lang w:val="ru-RU"/>
        </w:rPr>
        <w:t xml:space="preserve">многие другие правительства используют такие </w:t>
      </w:r>
      <w:r w:rsidR="0023536F" w:rsidRPr="00DF1530">
        <w:rPr>
          <w:lang w:val="ru-RU"/>
        </w:rPr>
        <w:t>программы</w:t>
      </w:r>
      <w:r w:rsidR="008C7A93" w:rsidRPr="00DF1530">
        <w:rPr>
          <w:lang w:val="ru-RU"/>
        </w:rPr>
        <w:t xml:space="preserve"> </w:t>
      </w:r>
      <w:r w:rsidR="00FF2A54" w:rsidRPr="00DF1530">
        <w:rPr>
          <w:lang w:val="ru-RU"/>
        </w:rPr>
        <w:t xml:space="preserve">в качестве средства расширения доступа на международный рынок и передачи знаний </w:t>
      </w:r>
      <w:r w:rsidR="008411BB" w:rsidRPr="00DF1530">
        <w:rPr>
          <w:lang w:val="ru-RU"/>
        </w:rPr>
        <w:t xml:space="preserve">для </w:t>
      </w:r>
      <w:r w:rsidR="00F736B7" w:rsidRPr="00DF1530">
        <w:rPr>
          <w:lang w:val="ru-RU"/>
        </w:rPr>
        <w:t>МСП</w:t>
      </w:r>
      <w:r w:rsidR="008C7A93" w:rsidRPr="00DF1530">
        <w:rPr>
          <w:lang w:val="ru-RU"/>
        </w:rPr>
        <w:t xml:space="preserve">. </w:t>
      </w:r>
      <w:r w:rsidR="00FF2A54" w:rsidRPr="00DF1530">
        <w:rPr>
          <w:lang w:val="ru-RU"/>
        </w:rPr>
        <w:t>С</w:t>
      </w:r>
      <w:r w:rsidR="00E57A1C" w:rsidRPr="00DF1530">
        <w:rPr>
          <w:lang w:val="ru-RU"/>
        </w:rPr>
        <w:t>оответствующ</w:t>
      </w:r>
      <w:r w:rsidR="00FF2A54" w:rsidRPr="00DF1530">
        <w:rPr>
          <w:lang w:val="ru-RU"/>
        </w:rPr>
        <w:t>ая</w:t>
      </w:r>
      <w:r w:rsidR="008C7A93" w:rsidRPr="00DF1530">
        <w:rPr>
          <w:lang w:val="ru-RU"/>
        </w:rPr>
        <w:t xml:space="preserve"> </w:t>
      </w:r>
      <w:r w:rsidR="0023536F" w:rsidRPr="00DF1530">
        <w:rPr>
          <w:lang w:val="ru-RU"/>
        </w:rPr>
        <w:t>программа</w:t>
      </w:r>
      <w:r w:rsidR="008C7A93" w:rsidRPr="00DF1530">
        <w:rPr>
          <w:lang w:val="ru-RU"/>
        </w:rPr>
        <w:t xml:space="preserve"> </w:t>
      </w:r>
      <w:r w:rsidR="00FF2A54" w:rsidRPr="00DF1530">
        <w:rPr>
          <w:lang w:val="ru-RU"/>
        </w:rPr>
        <w:t xml:space="preserve">такого рода </w:t>
      </w:r>
      <w:r w:rsidR="00834072" w:rsidRPr="00DF1530">
        <w:rPr>
          <w:lang w:val="ru-RU"/>
        </w:rPr>
        <w:t>в Российской Федерации</w:t>
      </w:r>
      <w:r w:rsidR="008C7A93" w:rsidRPr="00DF1530">
        <w:rPr>
          <w:lang w:val="ru-RU"/>
        </w:rPr>
        <w:t xml:space="preserve"> </w:t>
      </w:r>
      <w:r w:rsidR="00FF2A54" w:rsidRPr="00DF1530">
        <w:rPr>
          <w:lang w:val="ru-RU"/>
        </w:rPr>
        <w:t xml:space="preserve">должна включать меры по выявлению потенциальных «якорных фирм» </w:t>
      </w:r>
      <w:r w:rsidR="008C7A93" w:rsidRPr="00DF1530">
        <w:rPr>
          <w:lang w:val="ru-RU"/>
        </w:rPr>
        <w:t>FDI</w:t>
      </w:r>
      <w:r w:rsidR="00FF2A54" w:rsidRPr="00DF1530">
        <w:rPr>
          <w:lang w:val="ru-RU"/>
        </w:rPr>
        <w:t>,</w:t>
      </w:r>
      <w:r w:rsidR="008C7A93" w:rsidRPr="00DF1530">
        <w:rPr>
          <w:lang w:val="ru-RU"/>
        </w:rPr>
        <w:t xml:space="preserve"> </w:t>
      </w:r>
      <w:r w:rsidR="00FF2A54" w:rsidRPr="00DF1530">
        <w:rPr>
          <w:lang w:val="ru-RU"/>
        </w:rPr>
        <w:t xml:space="preserve">готовых сотрудничать с </w:t>
      </w:r>
      <w:r w:rsidR="00CD71D1" w:rsidRPr="00DF1530">
        <w:rPr>
          <w:lang w:val="ru-RU"/>
        </w:rPr>
        <w:t>правительство</w:t>
      </w:r>
      <w:r w:rsidR="00FF2A54" w:rsidRPr="00DF1530">
        <w:rPr>
          <w:lang w:val="ru-RU"/>
        </w:rPr>
        <w:t>м</w:t>
      </w:r>
      <w:r w:rsidR="008C7A93" w:rsidRPr="00DF1530">
        <w:rPr>
          <w:lang w:val="ru-RU"/>
        </w:rPr>
        <w:t xml:space="preserve"> </w:t>
      </w:r>
      <w:r w:rsidR="00FF2A54" w:rsidRPr="00DF1530">
        <w:rPr>
          <w:lang w:val="ru-RU"/>
        </w:rPr>
        <w:t>в развитии местных цепочек поставщиков</w:t>
      </w:r>
      <w:r w:rsidR="008C7A93" w:rsidRPr="00DF1530">
        <w:rPr>
          <w:lang w:val="ru-RU"/>
        </w:rPr>
        <w:t xml:space="preserve">, </w:t>
      </w:r>
      <w:r w:rsidR="00FF2A54" w:rsidRPr="00DF1530">
        <w:rPr>
          <w:lang w:val="ru-RU"/>
        </w:rPr>
        <w:t xml:space="preserve">выявлению потенциальных местных поставщиков </w:t>
      </w:r>
      <w:r w:rsidR="00834072" w:rsidRPr="00DF1530">
        <w:rPr>
          <w:lang w:val="ru-RU"/>
        </w:rPr>
        <w:t>МСП</w:t>
      </w:r>
      <w:r w:rsidR="008C7A93" w:rsidRPr="00DF1530">
        <w:rPr>
          <w:lang w:val="ru-RU"/>
        </w:rPr>
        <w:t xml:space="preserve"> </w:t>
      </w:r>
      <w:r w:rsidR="00FF2A54" w:rsidRPr="00DF1530">
        <w:rPr>
          <w:lang w:val="ru-RU"/>
        </w:rPr>
        <w:t>для этих «якорных фирм»</w:t>
      </w:r>
      <w:r w:rsidR="008C7A93" w:rsidRPr="00DF1530">
        <w:rPr>
          <w:lang w:val="ru-RU"/>
        </w:rPr>
        <w:t xml:space="preserve">, </w:t>
      </w:r>
      <w:r w:rsidR="00FF2A54" w:rsidRPr="00DF1530">
        <w:rPr>
          <w:lang w:val="ru-RU"/>
        </w:rPr>
        <w:t xml:space="preserve">анализу улучшений, которые потребуются в </w:t>
      </w:r>
      <w:r w:rsidR="00F736B7" w:rsidRPr="00DF1530">
        <w:rPr>
          <w:lang w:val="ru-RU"/>
        </w:rPr>
        <w:t>МСП</w:t>
      </w:r>
      <w:r w:rsidR="008C7A93" w:rsidRPr="00DF1530">
        <w:rPr>
          <w:lang w:val="ru-RU"/>
        </w:rPr>
        <w:t xml:space="preserve"> </w:t>
      </w:r>
      <w:r w:rsidR="00FF2A54" w:rsidRPr="00DF1530">
        <w:rPr>
          <w:lang w:val="ru-RU"/>
        </w:rPr>
        <w:t>для заключения контрактов на поставку с «якорными фирмами»</w:t>
      </w:r>
      <w:r w:rsidR="008C7A93" w:rsidRPr="00DF1530">
        <w:rPr>
          <w:lang w:val="ru-RU"/>
        </w:rPr>
        <w:t xml:space="preserve"> (</w:t>
      </w:r>
      <w:r w:rsidR="00834072" w:rsidRPr="00DF1530">
        <w:rPr>
          <w:lang w:val="ru-RU"/>
        </w:rPr>
        <w:t>т.е.</w:t>
      </w:r>
      <w:r w:rsidR="008C7A93" w:rsidRPr="00DF1530">
        <w:rPr>
          <w:lang w:val="ru-RU"/>
        </w:rPr>
        <w:t xml:space="preserve"> </w:t>
      </w:r>
      <w:r w:rsidR="004A7BFD" w:rsidRPr="00DF1530">
        <w:rPr>
          <w:lang w:val="ru-RU"/>
        </w:rPr>
        <w:t xml:space="preserve">меры, которые будут приняты ими для сокращения </w:t>
      </w:r>
      <w:r w:rsidR="00FF78BB" w:rsidRPr="00DF1530">
        <w:rPr>
          <w:lang w:val="ru-RU"/>
        </w:rPr>
        <w:t>сво</w:t>
      </w:r>
      <w:r w:rsidR="004A7BFD" w:rsidRPr="00DF1530">
        <w:rPr>
          <w:lang w:val="ru-RU"/>
        </w:rPr>
        <w:t>их издержек</w:t>
      </w:r>
      <w:r w:rsidR="008C7A93" w:rsidRPr="00DF1530">
        <w:rPr>
          <w:lang w:val="ru-RU"/>
        </w:rPr>
        <w:t xml:space="preserve">, </w:t>
      </w:r>
      <w:r w:rsidR="004A7BFD" w:rsidRPr="00DF1530">
        <w:rPr>
          <w:lang w:val="ru-RU"/>
        </w:rPr>
        <w:t xml:space="preserve">повышения </w:t>
      </w:r>
      <w:r w:rsidR="00D571E4" w:rsidRPr="00DF1530">
        <w:rPr>
          <w:lang w:val="ru-RU"/>
        </w:rPr>
        <w:t>качеств</w:t>
      </w:r>
      <w:r w:rsidR="004A7BFD" w:rsidRPr="00DF1530">
        <w:rPr>
          <w:lang w:val="ru-RU"/>
        </w:rPr>
        <w:t>а</w:t>
      </w:r>
      <w:r w:rsidR="008C7A93" w:rsidRPr="00DF1530">
        <w:rPr>
          <w:lang w:val="ru-RU"/>
        </w:rPr>
        <w:t xml:space="preserve"> </w:t>
      </w:r>
      <w:r w:rsidR="004A7BFD" w:rsidRPr="00DF1530">
        <w:rPr>
          <w:lang w:val="ru-RU"/>
        </w:rPr>
        <w:t>и сокращения сроков поставки</w:t>
      </w:r>
      <w:r w:rsidR="008C7A93" w:rsidRPr="00DF1530">
        <w:rPr>
          <w:lang w:val="ru-RU"/>
        </w:rPr>
        <w:t xml:space="preserve">), </w:t>
      </w:r>
      <w:r w:rsidR="004A7BFD" w:rsidRPr="00DF1530">
        <w:rPr>
          <w:lang w:val="ru-RU"/>
        </w:rPr>
        <w:t>и должна предусматривать обучение</w:t>
      </w:r>
      <w:r w:rsidR="008C7A93" w:rsidRPr="00DF1530">
        <w:rPr>
          <w:lang w:val="ru-RU"/>
        </w:rPr>
        <w:t xml:space="preserve">, </w:t>
      </w:r>
      <w:r w:rsidR="004A7BFD" w:rsidRPr="00DF1530">
        <w:rPr>
          <w:lang w:val="ru-RU"/>
        </w:rPr>
        <w:t xml:space="preserve">консультирование и </w:t>
      </w:r>
      <w:r w:rsidR="004A7BFD" w:rsidRPr="00DF1530">
        <w:rPr>
          <w:lang w:val="ru-RU"/>
        </w:rPr>
        <w:lastRenderedPageBreak/>
        <w:t>финансирование</w:t>
      </w:r>
      <w:r w:rsidR="008C7A93" w:rsidRPr="00DF1530">
        <w:rPr>
          <w:lang w:val="ru-RU"/>
        </w:rPr>
        <w:t xml:space="preserve"> </w:t>
      </w:r>
      <w:r w:rsidR="00F736B7" w:rsidRPr="00DF1530">
        <w:rPr>
          <w:lang w:val="ru-RU"/>
        </w:rPr>
        <w:t>МСП</w:t>
      </w:r>
      <w:r w:rsidR="004A7BFD" w:rsidRPr="00DF1530">
        <w:rPr>
          <w:lang w:val="ru-RU"/>
        </w:rPr>
        <w:t>,</w:t>
      </w:r>
      <w:r w:rsidR="008C7A93" w:rsidRPr="00DF1530">
        <w:rPr>
          <w:lang w:val="ru-RU"/>
        </w:rPr>
        <w:t xml:space="preserve"> </w:t>
      </w:r>
      <w:r w:rsidR="004A7BFD" w:rsidRPr="00DF1530">
        <w:rPr>
          <w:lang w:val="ru-RU"/>
        </w:rPr>
        <w:t>чтобы они имели возможность выйти на требуемые международные стандарты</w:t>
      </w:r>
      <w:r w:rsidR="008C7A93" w:rsidRPr="00DF1530">
        <w:rPr>
          <w:lang w:val="ru-RU"/>
        </w:rPr>
        <w:t xml:space="preserve">. </w:t>
      </w:r>
      <w:r w:rsidR="004A7BFD" w:rsidRPr="00DF1530">
        <w:rPr>
          <w:lang w:val="ru-RU"/>
        </w:rPr>
        <w:t>Сами иностранные компании могут быть привлечены к передаче специальных знаний и финансированию этой инициативы</w:t>
      </w:r>
      <w:r w:rsidR="008C7A93" w:rsidRPr="00DF1530">
        <w:rPr>
          <w:lang w:val="ru-RU"/>
        </w:rPr>
        <w:t xml:space="preserve">. </w:t>
      </w:r>
    </w:p>
    <w:p w:rsidR="008C7A93" w:rsidRPr="00DF1530" w:rsidRDefault="00AC6CBB" w:rsidP="008C7A93">
      <w:pPr>
        <w:pStyle w:val="31"/>
        <w:rPr>
          <w:lang w:val="ru-RU"/>
        </w:rPr>
      </w:pPr>
      <w:r w:rsidRPr="00DF1530">
        <w:rPr>
          <w:lang w:val="ru-RU"/>
        </w:rPr>
        <w:t xml:space="preserve">Расширение инфраструктуры услуг для развития </w:t>
      </w:r>
      <w:r w:rsidR="00B32F4A" w:rsidRPr="00DF1530">
        <w:rPr>
          <w:lang w:val="ru-RU"/>
        </w:rPr>
        <w:t>предпринимательской деятельности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F736B7" w:rsidRPr="00DF1530">
        <w:rPr>
          <w:lang w:val="ru-RU"/>
        </w:rPr>
        <w:t>Хотя</w:t>
      </w:r>
      <w:r w:rsidR="008C7A93" w:rsidRPr="00DF1530">
        <w:rPr>
          <w:lang w:val="ru-RU"/>
        </w:rPr>
        <w:t xml:space="preserve"> </w:t>
      </w:r>
      <w:r w:rsidR="00BA1F08" w:rsidRPr="00DF1530">
        <w:rPr>
          <w:lang w:val="ru-RU"/>
        </w:rPr>
        <w:t>федеральная программа поддержки МСП</w:t>
      </w:r>
      <w:r w:rsidR="008C7A93" w:rsidRPr="00DF1530">
        <w:rPr>
          <w:lang w:val="ru-RU"/>
        </w:rPr>
        <w:t xml:space="preserve"> </w:t>
      </w:r>
      <w:r w:rsidR="00B32F4A" w:rsidRPr="00DF1530">
        <w:rPr>
          <w:lang w:val="ru-RU"/>
        </w:rPr>
        <w:t>предусматривает инвестиции</w:t>
      </w:r>
      <w:r w:rsidR="008C7A93" w:rsidRPr="00DF1530">
        <w:rPr>
          <w:lang w:val="ru-RU"/>
        </w:rPr>
        <w:t xml:space="preserve"> </w:t>
      </w:r>
      <w:r w:rsidR="00B32F4A" w:rsidRPr="00DF1530">
        <w:rPr>
          <w:lang w:val="ru-RU"/>
        </w:rPr>
        <w:t>в формирование инфраструктуры услуг для развития предпринимательской деятельности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r w:rsidR="00B32F4A" w:rsidRPr="00DF1530">
        <w:rPr>
          <w:lang w:val="ru-RU"/>
        </w:rPr>
        <w:t>в настоящее время существует лишь ограниченное количество технологических парков</w:t>
      </w:r>
      <w:r w:rsidR="008C7A93" w:rsidRPr="00DF1530">
        <w:rPr>
          <w:lang w:val="ru-RU"/>
        </w:rPr>
        <w:t xml:space="preserve">, </w:t>
      </w:r>
      <w:r w:rsidR="00B32F4A" w:rsidRPr="00DF1530">
        <w:rPr>
          <w:lang w:val="ru-RU"/>
        </w:rPr>
        <w:t>бизнес-инкубаторов</w:t>
      </w:r>
      <w:r w:rsidR="008C7A93" w:rsidRPr="00DF1530">
        <w:rPr>
          <w:lang w:val="ru-RU"/>
        </w:rPr>
        <w:t xml:space="preserve">, </w:t>
      </w:r>
      <w:r w:rsidR="00B32F4A" w:rsidRPr="00DF1530">
        <w:rPr>
          <w:lang w:val="ru-RU"/>
        </w:rPr>
        <w:t xml:space="preserve">центров </w:t>
      </w:r>
      <w:r w:rsidR="00E57A1C" w:rsidRPr="00DF1530">
        <w:rPr>
          <w:lang w:val="ru-RU"/>
        </w:rPr>
        <w:t>поддержк</w:t>
      </w:r>
      <w:r w:rsidR="00B32F4A" w:rsidRPr="00DF1530">
        <w:rPr>
          <w:lang w:val="ru-RU"/>
        </w:rPr>
        <w:t>и предпринимательской деятельности</w:t>
      </w:r>
      <w:r w:rsidR="008C7A93" w:rsidRPr="00DF1530">
        <w:rPr>
          <w:lang w:val="ru-RU"/>
        </w:rPr>
        <w:t xml:space="preserve">, </w:t>
      </w:r>
      <w:r w:rsidR="00D3769A" w:rsidRPr="00DF1530">
        <w:rPr>
          <w:lang w:val="ru-RU"/>
        </w:rPr>
        <w:t>инноваци</w:t>
      </w:r>
      <w:r w:rsidR="00B32F4A" w:rsidRPr="00DF1530">
        <w:rPr>
          <w:lang w:val="ru-RU"/>
        </w:rPr>
        <w:t>онных</w:t>
      </w:r>
      <w:r w:rsidR="008C7A93" w:rsidRPr="00DF1530">
        <w:rPr>
          <w:lang w:val="ru-RU"/>
        </w:rPr>
        <w:t xml:space="preserve"> </w:t>
      </w:r>
      <w:r w:rsidR="00B32F4A" w:rsidRPr="00DF1530">
        <w:rPr>
          <w:lang w:val="ru-RU"/>
        </w:rPr>
        <w:t>центров</w:t>
      </w:r>
      <w:r w:rsidR="008C7A93" w:rsidRPr="00DF1530">
        <w:rPr>
          <w:lang w:val="ru-RU"/>
        </w:rPr>
        <w:t xml:space="preserve">, </w:t>
      </w:r>
      <w:r w:rsidR="00B32F4A" w:rsidRPr="00DF1530">
        <w:rPr>
          <w:lang w:val="ru-RU"/>
        </w:rPr>
        <w:t>экспортных центров</w:t>
      </w:r>
      <w:r w:rsidR="008C7A93" w:rsidRPr="00DF1530">
        <w:rPr>
          <w:lang w:val="ru-RU"/>
        </w:rPr>
        <w:t xml:space="preserve"> </w:t>
      </w:r>
      <w:r w:rsidR="00B32F4A" w:rsidRPr="00DF1530">
        <w:rPr>
          <w:lang w:val="ru-RU"/>
        </w:rPr>
        <w:t xml:space="preserve">и т.д. </w:t>
      </w:r>
      <w:r w:rsidR="00F736B7" w:rsidRPr="00DF1530">
        <w:rPr>
          <w:lang w:val="ru-RU"/>
        </w:rPr>
        <w:t>по сравнению с</w:t>
      </w:r>
      <w:r w:rsidR="008C7A93" w:rsidRPr="00DF1530">
        <w:rPr>
          <w:lang w:val="ru-RU"/>
        </w:rPr>
        <w:t xml:space="preserve"> </w:t>
      </w:r>
      <w:r w:rsidR="00B32F4A" w:rsidRPr="00DF1530">
        <w:rPr>
          <w:lang w:val="ru-RU"/>
        </w:rPr>
        <w:t xml:space="preserve">количеством </w:t>
      </w:r>
      <w:r w:rsidR="00592D7B" w:rsidRPr="00DF1530">
        <w:rPr>
          <w:lang w:val="ru-RU"/>
        </w:rPr>
        <w:t>предприятий</w:t>
      </w:r>
      <w:r w:rsidR="00B32F4A" w:rsidRPr="00DF1530">
        <w:rPr>
          <w:lang w:val="ru-RU"/>
        </w:rPr>
        <w:t>,</w:t>
      </w:r>
      <w:r w:rsidR="008C7A93" w:rsidRPr="00DF1530">
        <w:rPr>
          <w:lang w:val="ru-RU"/>
        </w:rPr>
        <w:t xml:space="preserve"> </w:t>
      </w:r>
      <w:r w:rsidR="00B32F4A" w:rsidRPr="00DF1530">
        <w:rPr>
          <w:lang w:val="ru-RU"/>
        </w:rPr>
        <w:t>которы</w:t>
      </w:r>
      <w:r w:rsidR="00FF78BB" w:rsidRPr="00DF1530">
        <w:rPr>
          <w:lang w:val="ru-RU"/>
        </w:rPr>
        <w:t xml:space="preserve">е нуждаются в таких </w:t>
      </w:r>
      <w:r w:rsidR="00B32F4A" w:rsidRPr="00DF1530">
        <w:rPr>
          <w:lang w:val="ru-RU"/>
        </w:rPr>
        <w:t>услуг</w:t>
      </w:r>
      <w:r w:rsidR="00FF78BB" w:rsidRPr="00DF1530">
        <w:rPr>
          <w:lang w:val="ru-RU"/>
        </w:rPr>
        <w:t>ах</w:t>
      </w:r>
      <w:r w:rsidR="008C7A93" w:rsidRPr="00DF1530">
        <w:rPr>
          <w:lang w:val="ru-RU"/>
        </w:rPr>
        <w:t xml:space="preserve">. </w:t>
      </w:r>
      <w:r w:rsidR="00592D7B" w:rsidRPr="00DF1530">
        <w:rPr>
          <w:lang w:val="ru-RU"/>
        </w:rPr>
        <w:t>К примеру</w:t>
      </w:r>
      <w:r w:rsidR="008C7A93" w:rsidRPr="00DF1530">
        <w:rPr>
          <w:lang w:val="ru-RU"/>
        </w:rPr>
        <w:t xml:space="preserve">, </w:t>
      </w:r>
      <w:r w:rsidR="00B32F4A" w:rsidRPr="00DF1530">
        <w:rPr>
          <w:lang w:val="ru-RU"/>
        </w:rPr>
        <w:t xml:space="preserve">в 2012 году было </w:t>
      </w:r>
      <w:r w:rsidR="0047268B" w:rsidRPr="00DF1530">
        <w:rPr>
          <w:lang w:val="ru-RU"/>
        </w:rPr>
        <w:t>только</w:t>
      </w:r>
      <w:r w:rsidR="008C7A93" w:rsidRPr="00DF1530">
        <w:rPr>
          <w:lang w:val="ru-RU"/>
        </w:rPr>
        <w:t xml:space="preserve"> 104 </w:t>
      </w:r>
      <w:r w:rsidR="00B32F4A" w:rsidRPr="00DF1530">
        <w:rPr>
          <w:lang w:val="ru-RU"/>
        </w:rPr>
        <w:t>бизнес-инкубатора с государственной поддержкой</w:t>
      </w:r>
      <w:r w:rsidR="008C7A93" w:rsidRPr="00DF1530">
        <w:rPr>
          <w:lang w:val="ru-RU"/>
        </w:rPr>
        <w:t xml:space="preserve">, </w:t>
      </w:r>
      <w:r w:rsidR="00B32F4A" w:rsidRPr="00DF1530">
        <w:rPr>
          <w:lang w:val="ru-RU"/>
        </w:rPr>
        <w:t xml:space="preserve">обслуживающих примерно </w:t>
      </w:r>
      <w:r w:rsidR="008C7A93" w:rsidRPr="00DF1530">
        <w:rPr>
          <w:lang w:val="ru-RU"/>
        </w:rPr>
        <w:t xml:space="preserve">1 600 </w:t>
      </w:r>
      <w:r w:rsidR="00F736B7" w:rsidRPr="00DF1530">
        <w:rPr>
          <w:lang w:val="ru-RU"/>
        </w:rPr>
        <w:t>МСП</w:t>
      </w:r>
      <w:r w:rsidR="00B32F4A" w:rsidRPr="00DF1530">
        <w:rPr>
          <w:lang w:val="ru-RU"/>
        </w:rPr>
        <w:t>,</w:t>
      </w:r>
      <w:r w:rsidR="008C7A93" w:rsidRPr="00DF1530">
        <w:rPr>
          <w:lang w:val="ru-RU"/>
        </w:rPr>
        <w:t xml:space="preserve"> </w:t>
      </w:r>
      <w:r w:rsidR="00B32F4A" w:rsidRPr="00DF1530">
        <w:rPr>
          <w:lang w:val="ru-RU"/>
        </w:rPr>
        <w:t>в пять раз меньше, чем в США, считая по количеству предприятий на один бизнес-инкубатор</w:t>
      </w:r>
      <w:r w:rsidR="008C7A93" w:rsidRPr="00DF1530">
        <w:rPr>
          <w:lang w:val="ru-RU"/>
        </w:rPr>
        <w:t xml:space="preserve">. </w:t>
      </w:r>
      <w:r w:rsidR="00B32F4A" w:rsidRPr="00DF1530">
        <w:rPr>
          <w:lang w:val="ru-RU"/>
        </w:rPr>
        <w:t>Аналогичным образом</w:t>
      </w:r>
      <w:r w:rsidR="008C7A93" w:rsidRPr="00DF1530">
        <w:rPr>
          <w:lang w:val="ru-RU"/>
        </w:rPr>
        <w:t xml:space="preserve">, </w:t>
      </w:r>
      <w:r w:rsidR="00B32F4A" w:rsidRPr="00DF1530">
        <w:rPr>
          <w:lang w:val="ru-RU"/>
        </w:rPr>
        <w:t xml:space="preserve">в 2012 году было только </w:t>
      </w:r>
      <w:r w:rsidR="008C7A93" w:rsidRPr="00DF1530">
        <w:rPr>
          <w:lang w:val="ru-RU"/>
        </w:rPr>
        <w:t xml:space="preserve">34 </w:t>
      </w:r>
      <w:r w:rsidR="00B32F4A" w:rsidRPr="00DF1530">
        <w:rPr>
          <w:lang w:val="ru-RU"/>
        </w:rPr>
        <w:t>центра экспортной п</w:t>
      </w:r>
      <w:r w:rsidR="00E57A1C" w:rsidRPr="00DF1530">
        <w:rPr>
          <w:lang w:val="ru-RU"/>
        </w:rPr>
        <w:t>оддержк</w:t>
      </w:r>
      <w:r w:rsidR="00B32F4A" w:rsidRPr="00DF1530">
        <w:rPr>
          <w:lang w:val="ru-RU"/>
        </w:rPr>
        <w:t>и</w:t>
      </w:r>
      <w:r w:rsidR="008C7A93" w:rsidRPr="00DF1530">
        <w:rPr>
          <w:lang w:val="ru-RU"/>
        </w:rPr>
        <w:t xml:space="preserve">, </w:t>
      </w:r>
      <w:r w:rsidR="00B32F4A" w:rsidRPr="00DF1530">
        <w:rPr>
          <w:lang w:val="ru-RU"/>
        </w:rPr>
        <w:t xml:space="preserve">обслуживающих примерно </w:t>
      </w:r>
      <w:r w:rsidR="008C7A93" w:rsidRPr="00DF1530">
        <w:rPr>
          <w:lang w:val="ru-RU"/>
        </w:rPr>
        <w:t xml:space="preserve">2 900 </w:t>
      </w:r>
      <w:r w:rsidR="00347E3A" w:rsidRPr="00DF1530">
        <w:rPr>
          <w:lang w:val="ru-RU"/>
        </w:rPr>
        <w:t>предпринимател</w:t>
      </w:r>
      <w:r w:rsidR="00B32F4A" w:rsidRPr="00DF1530">
        <w:rPr>
          <w:lang w:val="ru-RU"/>
        </w:rPr>
        <w:t>ей</w:t>
      </w:r>
      <w:r w:rsidR="008C7A93" w:rsidRPr="00DF1530">
        <w:rPr>
          <w:lang w:val="ru-RU"/>
        </w:rPr>
        <w:t xml:space="preserve">. </w:t>
      </w:r>
      <w:r w:rsidR="00B32F4A" w:rsidRPr="00DF1530">
        <w:rPr>
          <w:lang w:val="ru-RU"/>
        </w:rPr>
        <w:t xml:space="preserve">В период </w:t>
      </w:r>
      <w:r w:rsidR="008C7A93" w:rsidRPr="00DF1530">
        <w:rPr>
          <w:lang w:val="ru-RU"/>
        </w:rPr>
        <w:t xml:space="preserve">2007-11 </w:t>
      </w:r>
      <w:r w:rsidR="00B32F4A" w:rsidRPr="00DF1530">
        <w:rPr>
          <w:lang w:val="ru-RU"/>
        </w:rPr>
        <w:t xml:space="preserve">гг. были созданы </w:t>
      </w:r>
      <w:r w:rsidR="00FF78BB" w:rsidRPr="00DF1530">
        <w:rPr>
          <w:lang w:val="ru-RU"/>
        </w:rPr>
        <w:t xml:space="preserve">всего </w:t>
      </w:r>
      <w:r w:rsidR="00B32F4A" w:rsidRPr="00DF1530">
        <w:rPr>
          <w:lang w:val="ru-RU"/>
        </w:rPr>
        <w:t>семь технологических парков с государственной поддержкой</w:t>
      </w:r>
      <w:r w:rsidR="008C7A93" w:rsidRPr="00DF1530">
        <w:rPr>
          <w:lang w:val="ru-RU"/>
        </w:rPr>
        <w:t xml:space="preserve">, </w:t>
      </w:r>
      <w:r w:rsidR="00B32F4A" w:rsidRPr="00DF1530">
        <w:rPr>
          <w:lang w:val="ru-RU"/>
        </w:rPr>
        <w:t>при этом масштабный и</w:t>
      </w:r>
      <w:r w:rsidR="00FF78BB" w:rsidRPr="00DF1530">
        <w:rPr>
          <w:lang w:val="ru-RU"/>
        </w:rPr>
        <w:t>н</w:t>
      </w:r>
      <w:r w:rsidR="00B32F4A" w:rsidRPr="00DF1530">
        <w:rPr>
          <w:lang w:val="ru-RU"/>
        </w:rPr>
        <w:t>новационн</w:t>
      </w:r>
      <w:r w:rsidR="00FF78BB" w:rsidRPr="00DF1530">
        <w:rPr>
          <w:lang w:val="ru-RU"/>
        </w:rPr>
        <w:t xml:space="preserve">ый </w:t>
      </w:r>
      <w:r w:rsidR="00B32F4A" w:rsidRPr="00DF1530">
        <w:rPr>
          <w:lang w:val="ru-RU"/>
        </w:rPr>
        <w:t xml:space="preserve">предпринимательский центр «Сколково» в Московской области не имеет параллелей в других крупных центрах </w:t>
      </w:r>
      <w:r w:rsidR="005903A3" w:rsidRPr="00DF1530">
        <w:rPr>
          <w:lang w:val="ru-RU"/>
        </w:rPr>
        <w:t xml:space="preserve">и не имеет хороших связей по поставкам и </w:t>
      </w:r>
      <w:r w:rsidR="00D3769A" w:rsidRPr="00DF1530">
        <w:rPr>
          <w:lang w:val="ru-RU"/>
        </w:rPr>
        <w:t>инноваци</w:t>
      </w:r>
      <w:r w:rsidR="005903A3" w:rsidRPr="00DF1530">
        <w:rPr>
          <w:lang w:val="ru-RU"/>
        </w:rPr>
        <w:t>ям</w:t>
      </w:r>
      <w:r w:rsidR="008C7A93" w:rsidRPr="00DF1530">
        <w:rPr>
          <w:lang w:val="ru-RU"/>
        </w:rPr>
        <w:t xml:space="preserve"> </w:t>
      </w:r>
      <w:r w:rsidR="005903A3" w:rsidRPr="00DF1530">
        <w:rPr>
          <w:lang w:val="ru-RU"/>
        </w:rPr>
        <w:t xml:space="preserve">с региональной и </w:t>
      </w:r>
      <w:r w:rsidR="0010795B" w:rsidRPr="00DF1530">
        <w:rPr>
          <w:lang w:val="ru-RU"/>
        </w:rPr>
        <w:t>национальн</w:t>
      </w:r>
      <w:r w:rsidR="005903A3" w:rsidRPr="00DF1530">
        <w:rPr>
          <w:lang w:val="ru-RU"/>
        </w:rPr>
        <w:t>о</w:t>
      </w:r>
      <w:r w:rsidR="0010795B" w:rsidRPr="00DF1530">
        <w:rPr>
          <w:lang w:val="ru-RU"/>
        </w:rPr>
        <w:t>й</w:t>
      </w:r>
      <w:r w:rsidR="008C7A93" w:rsidRPr="00DF1530">
        <w:rPr>
          <w:lang w:val="ru-RU"/>
        </w:rPr>
        <w:t xml:space="preserve"> </w:t>
      </w:r>
      <w:r w:rsidR="005903A3" w:rsidRPr="00DF1530">
        <w:rPr>
          <w:lang w:val="ru-RU"/>
        </w:rPr>
        <w:t>экономикой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67</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D25D1" w:rsidRPr="00DF1530">
        <w:rPr>
          <w:lang w:val="ru-RU"/>
        </w:rPr>
        <w:t>Поэтому необходимо в первоочередном порядке увеличить количество центров поддержки предпринимательской деятельности, способных предлагать аналитические</w:t>
      </w:r>
      <w:r w:rsidR="008C7A93" w:rsidRPr="00DF1530">
        <w:rPr>
          <w:lang w:val="ru-RU"/>
        </w:rPr>
        <w:t xml:space="preserve">, </w:t>
      </w:r>
      <w:r w:rsidR="00BD25D1" w:rsidRPr="00DF1530">
        <w:rPr>
          <w:lang w:val="ru-RU"/>
        </w:rPr>
        <w:t>консультационные</w:t>
      </w:r>
      <w:r w:rsidR="008C7A93" w:rsidRPr="00DF1530">
        <w:rPr>
          <w:lang w:val="ru-RU"/>
        </w:rPr>
        <w:t xml:space="preserve">, </w:t>
      </w:r>
      <w:r w:rsidR="00BD25D1" w:rsidRPr="00DF1530">
        <w:rPr>
          <w:lang w:val="ru-RU"/>
        </w:rPr>
        <w:t xml:space="preserve">консультативные услуги и услуги по обучению для </w:t>
      </w:r>
      <w:r w:rsidR="00BA1F08" w:rsidRPr="00DF1530">
        <w:rPr>
          <w:lang w:val="ru-RU"/>
        </w:rPr>
        <w:t>МСП и предпринимател</w:t>
      </w:r>
      <w:r w:rsidR="00BD25D1" w:rsidRPr="00DF1530">
        <w:rPr>
          <w:lang w:val="ru-RU"/>
        </w:rPr>
        <w:t>ей</w:t>
      </w:r>
      <w:r w:rsidR="008C7A93" w:rsidRPr="00DF1530">
        <w:rPr>
          <w:lang w:val="ru-RU"/>
        </w:rPr>
        <w:t xml:space="preserve"> </w:t>
      </w:r>
      <w:r w:rsidR="00BD25D1" w:rsidRPr="00DF1530">
        <w:rPr>
          <w:lang w:val="ru-RU"/>
        </w:rPr>
        <w:t>с целью улучшения возможностей и практики работы компаний</w:t>
      </w:r>
      <w:r w:rsidR="008C7A93" w:rsidRPr="00DF1530">
        <w:rPr>
          <w:lang w:val="ru-RU"/>
        </w:rPr>
        <w:t xml:space="preserve">. </w:t>
      </w:r>
      <w:r w:rsidR="00BD25D1" w:rsidRPr="00DF1530">
        <w:rPr>
          <w:lang w:val="ru-RU"/>
        </w:rPr>
        <w:t>Этого можно добиться, в частности, за счет большего участия партнеров из частного сектора</w:t>
      </w:r>
      <w:r w:rsidR="008C7A93" w:rsidRPr="00DF1530">
        <w:rPr>
          <w:lang w:val="ru-RU"/>
        </w:rPr>
        <w:t xml:space="preserve"> </w:t>
      </w:r>
      <w:r w:rsidR="00BD25D1" w:rsidRPr="00DF1530">
        <w:rPr>
          <w:lang w:val="ru-RU"/>
        </w:rPr>
        <w:t xml:space="preserve">в развитии таких </w:t>
      </w:r>
      <w:r w:rsidR="00B32F4A" w:rsidRPr="00DF1530">
        <w:rPr>
          <w:lang w:val="ru-RU"/>
        </w:rPr>
        <w:t>центр</w:t>
      </w:r>
      <w:r w:rsidR="00BD25D1" w:rsidRPr="00DF1530">
        <w:rPr>
          <w:lang w:val="ru-RU"/>
        </w:rPr>
        <w:t>ов</w:t>
      </w:r>
      <w:r w:rsidR="008C7A93" w:rsidRPr="00DF1530">
        <w:rPr>
          <w:lang w:val="ru-RU"/>
        </w:rPr>
        <w:t xml:space="preserve"> </w:t>
      </w:r>
      <w:r w:rsidR="00BD25D1" w:rsidRPr="00DF1530">
        <w:rPr>
          <w:lang w:val="ru-RU"/>
        </w:rPr>
        <w:t xml:space="preserve">с финансированием со стороны </w:t>
      </w:r>
      <w:r w:rsidR="00EB1372" w:rsidRPr="00DF1530">
        <w:rPr>
          <w:lang w:val="ru-RU"/>
        </w:rPr>
        <w:t>федеральн</w:t>
      </w:r>
      <w:r w:rsidR="00BD25D1" w:rsidRPr="00DF1530">
        <w:rPr>
          <w:lang w:val="ru-RU"/>
        </w:rPr>
        <w:t>ого</w:t>
      </w:r>
      <w:r w:rsidR="008C7A93" w:rsidRPr="00DF1530">
        <w:rPr>
          <w:lang w:val="ru-RU"/>
        </w:rPr>
        <w:t xml:space="preserve"> </w:t>
      </w:r>
      <w:r w:rsidR="00CD71D1" w:rsidRPr="00DF1530">
        <w:rPr>
          <w:lang w:val="ru-RU"/>
        </w:rPr>
        <w:t>правительств</w:t>
      </w:r>
      <w:r w:rsidR="00BD25D1" w:rsidRPr="00DF1530">
        <w:rPr>
          <w:lang w:val="ru-RU"/>
        </w:rPr>
        <w:t>а</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74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795AE6" w:rsidRPr="00DF1530">
        <w:rPr>
          <w:lang w:val="ru-RU"/>
        </w:rPr>
        <w:t>Кроме того,</w:t>
      </w:r>
      <w:r w:rsidR="008C7A93" w:rsidRPr="00DF1530">
        <w:rPr>
          <w:lang w:val="ru-RU"/>
        </w:rPr>
        <w:t xml:space="preserve"> </w:t>
      </w:r>
      <w:r w:rsidR="005E6F7D" w:rsidRPr="00DF1530">
        <w:rPr>
          <w:lang w:val="ru-RU"/>
        </w:rPr>
        <w:t>инфраструктура для поддержки предпринимательской деятельности</w:t>
      </w:r>
      <w:r w:rsidR="008C7A93" w:rsidRPr="00DF1530">
        <w:rPr>
          <w:lang w:val="ru-RU"/>
        </w:rPr>
        <w:t xml:space="preserve"> </w:t>
      </w:r>
      <w:r w:rsidR="005E6F7D" w:rsidRPr="00DF1530">
        <w:rPr>
          <w:lang w:val="ru-RU"/>
        </w:rPr>
        <w:t xml:space="preserve">может быть улучшена путем создания единой </w:t>
      </w:r>
      <w:r w:rsidR="0010795B" w:rsidRPr="00DF1530">
        <w:rPr>
          <w:lang w:val="ru-RU"/>
        </w:rPr>
        <w:t>национальн</w:t>
      </w:r>
      <w:r w:rsidR="005E6F7D" w:rsidRPr="00DF1530">
        <w:rPr>
          <w:lang w:val="ru-RU"/>
        </w:rPr>
        <w:t>о</w:t>
      </w:r>
      <w:r w:rsidR="0010795B" w:rsidRPr="00DF1530">
        <w:rPr>
          <w:lang w:val="ru-RU"/>
        </w:rPr>
        <w:t>й</w:t>
      </w:r>
      <w:r w:rsidR="008C7A93" w:rsidRPr="00DF1530">
        <w:rPr>
          <w:lang w:val="ru-RU"/>
        </w:rPr>
        <w:t xml:space="preserve"> </w:t>
      </w:r>
      <w:r w:rsidR="005E6F7D" w:rsidRPr="00DF1530">
        <w:rPr>
          <w:lang w:val="ru-RU"/>
        </w:rPr>
        <w:t xml:space="preserve">службы помощи, в которую могут обратиться </w:t>
      </w:r>
      <w:r w:rsidR="00BA1F08" w:rsidRPr="00DF1530">
        <w:rPr>
          <w:lang w:val="ru-RU"/>
        </w:rPr>
        <w:t>МСП и предприниматели</w:t>
      </w:r>
      <w:r w:rsidR="008C7A93" w:rsidRPr="00DF1530">
        <w:rPr>
          <w:lang w:val="ru-RU"/>
        </w:rPr>
        <w:t xml:space="preserve"> </w:t>
      </w:r>
      <w:r w:rsidR="005E6F7D" w:rsidRPr="00DF1530">
        <w:rPr>
          <w:lang w:val="ru-RU"/>
        </w:rPr>
        <w:t xml:space="preserve">для участия в предусмотренной политикой системе </w:t>
      </w:r>
      <w:r w:rsidR="00E57A1C" w:rsidRPr="00DF1530">
        <w:rPr>
          <w:lang w:val="ru-RU"/>
        </w:rPr>
        <w:t>поддержк</w:t>
      </w:r>
      <w:r w:rsidR="005E6F7D" w:rsidRPr="00DF1530">
        <w:rPr>
          <w:lang w:val="ru-RU"/>
        </w:rPr>
        <w:t>и</w:t>
      </w:r>
      <w:r w:rsidR="008C7A93" w:rsidRPr="00DF1530">
        <w:rPr>
          <w:lang w:val="ru-RU"/>
        </w:rPr>
        <w:t xml:space="preserve">. </w:t>
      </w:r>
      <w:r w:rsidR="005E6F7D" w:rsidRPr="00DF1530">
        <w:rPr>
          <w:lang w:val="ru-RU"/>
        </w:rPr>
        <w:t xml:space="preserve">Эта служба должна предоставлять основную </w:t>
      </w:r>
      <w:r w:rsidR="0023536F" w:rsidRPr="00DF1530">
        <w:rPr>
          <w:lang w:val="ru-RU"/>
        </w:rPr>
        <w:t>информаци</w:t>
      </w:r>
      <w:r w:rsidR="005E6F7D" w:rsidRPr="00DF1530">
        <w:rPr>
          <w:lang w:val="ru-RU"/>
        </w:rPr>
        <w:t>ю</w:t>
      </w:r>
      <w:r w:rsidR="008C7A93" w:rsidRPr="00DF1530">
        <w:rPr>
          <w:lang w:val="ru-RU"/>
        </w:rPr>
        <w:t xml:space="preserve"> </w:t>
      </w:r>
      <w:r w:rsidR="005E6F7D" w:rsidRPr="00DF1530">
        <w:rPr>
          <w:lang w:val="ru-RU"/>
        </w:rPr>
        <w:t xml:space="preserve">и консультации по созданию и развитию предприятий непосредственно </w:t>
      </w:r>
      <w:r w:rsidR="00347E3A" w:rsidRPr="00DF1530">
        <w:rPr>
          <w:lang w:val="ru-RU"/>
        </w:rPr>
        <w:t>предпринимател</w:t>
      </w:r>
      <w:r w:rsidR="005E6F7D" w:rsidRPr="00DF1530">
        <w:rPr>
          <w:lang w:val="ru-RU"/>
        </w:rPr>
        <w:t>ям,</w:t>
      </w:r>
      <w:r w:rsidR="008C7A93" w:rsidRPr="00DF1530">
        <w:rPr>
          <w:lang w:val="ru-RU"/>
        </w:rPr>
        <w:t xml:space="preserve"> </w:t>
      </w:r>
      <w:r w:rsidR="005E6F7D" w:rsidRPr="00DF1530">
        <w:rPr>
          <w:lang w:val="ru-RU"/>
        </w:rPr>
        <w:t xml:space="preserve">а также направлять предпринимателей к другим государственным, частным и некоммерческим поставщикам услуг для предприятий </w:t>
      </w:r>
      <w:r w:rsidR="003B38E6" w:rsidRPr="00DF1530">
        <w:rPr>
          <w:lang w:val="ru-RU"/>
        </w:rPr>
        <w:t xml:space="preserve">для получения более подробной </w:t>
      </w:r>
      <w:r w:rsidR="0023536F" w:rsidRPr="00DF1530">
        <w:rPr>
          <w:lang w:val="ru-RU"/>
        </w:rPr>
        <w:t>информаци</w:t>
      </w:r>
      <w:r w:rsidR="003B38E6" w:rsidRPr="00DF1530">
        <w:rPr>
          <w:lang w:val="ru-RU"/>
        </w:rPr>
        <w:t>и и консультаций</w:t>
      </w:r>
      <w:r w:rsidR="008C7A93" w:rsidRPr="00DF1530">
        <w:rPr>
          <w:lang w:val="ru-RU"/>
        </w:rPr>
        <w:t xml:space="preserve">. </w:t>
      </w:r>
      <w:r w:rsidR="003B38E6" w:rsidRPr="00DF1530">
        <w:rPr>
          <w:lang w:val="ru-RU"/>
        </w:rPr>
        <w:t>Чтобы добиться максимального эффекта</w:t>
      </w:r>
      <w:r w:rsidR="008C7A93" w:rsidRPr="00DF1530">
        <w:rPr>
          <w:lang w:val="ru-RU"/>
        </w:rPr>
        <w:t xml:space="preserve">, </w:t>
      </w:r>
      <w:r w:rsidR="003B38E6" w:rsidRPr="00DF1530">
        <w:rPr>
          <w:lang w:val="ru-RU"/>
        </w:rPr>
        <w:t>эта служба должна быть общенациональной и сетевой, и стандарты качества обслуживания должны контролироваться</w:t>
      </w:r>
      <w:r w:rsidR="008C7A93" w:rsidRPr="00DF1530">
        <w:rPr>
          <w:lang w:val="ru-RU"/>
        </w:rPr>
        <w:t xml:space="preserve">. </w:t>
      </w:r>
    </w:p>
    <w:p w:rsidR="008C7A93" w:rsidRPr="00DF1530" w:rsidRDefault="00981A36" w:rsidP="008C7A93">
      <w:pPr>
        <w:pStyle w:val="31"/>
        <w:rPr>
          <w:lang w:val="ru-RU"/>
        </w:rPr>
      </w:pPr>
      <w:r w:rsidRPr="00DF1530">
        <w:rPr>
          <w:lang w:val="ru-RU"/>
        </w:rPr>
        <w:t xml:space="preserve">Повышение </w:t>
      </w:r>
      <w:r w:rsidR="00D571E4" w:rsidRPr="00DF1530">
        <w:rPr>
          <w:lang w:val="ru-RU"/>
        </w:rPr>
        <w:t>качеств</w:t>
      </w:r>
      <w:r w:rsidRPr="00DF1530">
        <w:rPr>
          <w:lang w:val="ru-RU"/>
        </w:rPr>
        <w:t>а</w:t>
      </w:r>
      <w:r w:rsidR="008C7A93" w:rsidRPr="00DF1530">
        <w:rPr>
          <w:lang w:val="ru-RU"/>
        </w:rPr>
        <w:t xml:space="preserve"> </w:t>
      </w:r>
      <w:r w:rsidRPr="00DF1530">
        <w:rPr>
          <w:lang w:val="ru-RU"/>
        </w:rPr>
        <w:t xml:space="preserve">услуг по поддержке предпринимательской деятельности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82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0105F1" w:rsidRPr="00DF1530">
        <w:rPr>
          <w:lang w:val="ru-RU"/>
        </w:rPr>
        <w:t>Параллельно с расширением системы услуг по развитию предпринимательской деятельности, необходимо расширение и улучшение возможностей</w:t>
      </w:r>
      <w:r w:rsidR="008C7A93" w:rsidRPr="00DF1530">
        <w:rPr>
          <w:lang w:val="ru-RU"/>
        </w:rPr>
        <w:t xml:space="preserve">. </w:t>
      </w:r>
      <w:r w:rsidR="000105F1" w:rsidRPr="00DF1530">
        <w:rPr>
          <w:lang w:val="ru-RU"/>
        </w:rPr>
        <w:t>Организации</w:t>
      </w:r>
      <w:r w:rsidR="008C7A93" w:rsidRPr="00DF1530">
        <w:rPr>
          <w:lang w:val="ru-RU"/>
        </w:rPr>
        <w:t xml:space="preserve"> </w:t>
      </w:r>
      <w:r w:rsidR="000105F1" w:rsidRPr="00DF1530">
        <w:rPr>
          <w:lang w:val="ru-RU"/>
        </w:rPr>
        <w:t xml:space="preserve">по поддержке предпринимательской деятельности во всей стране сильно отличаются по </w:t>
      </w:r>
      <w:r w:rsidR="00D571E4" w:rsidRPr="00DF1530">
        <w:rPr>
          <w:lang w:val="ru-RU"/>
        </w:rPr>
        <w:t>качеств</w:t>
      </w:r>
      <w:r w:rsidR="000105F1" w:rsidRPr="00DF1530">
        <w:rPr>
          <w:lang w:val="ru-RU"/>
        </w:rPr>
        <w:t>у</w:t>
      </w:r>
      <w:r w:rsidR="008C7A93" w:rsidRPr="00DF1530">
        <w:rPr>
          <w:lang w:val="ru-RU"/>
        </w:rPr>
        <w:t xml:space="preserve"> </w:t>
      </w:r>
      <w:r w:rsidR="000105F1" w:rsidRPr="00DF1530">
        <w:rPr>
          <w:lang w:val="ru-RU"/>
        </w:rPr>
        <w:t>своей работы</w:t>
      </w:r>
      <w:r w:rsidR="008C7A93" w:rsidRPr="00DF1530">
        <w:rPr>
          <w:lang w:val="ru-RU"/>
        </w:rPr>
        <w:t xml:space="preserve">. </w:t>
      </w:r>
      <w:r w:rsidR="000105F1" w:rsidRPr="00DF1530">
        <w:rPr>
          <w:lang w:val="ru-RU"/>
        </w:rPr>
        <w:t xml:space="preserve">Персонал и консультанты по поддержке предпринимательской деятельности часто не имеют достаточной квалификации по вопросам поддержки </w:t>
      </w:r>
      <w:r w:rsidR="003F5CB4" w:rsidRPr="00DF1530">
        <w:rPr>
          <w:lang w:val="ru-RU"/>
        </w:rPr>
        <w:t>МСП и предпринимательск</w:t>
      </w:r>
      <w:r w:rsidR="000105F1" w:rsidRPr="00DF1530">
        <w:rPr>
          <w:lang w:val="ru-RU"/>
        </w:rPr>
        <w:t>ой</w:t>
      </w:r>
      <w:r w:rsidR="003F5CB4" w:rsidRPr="00DF1530">
        <w:rPr>
          <w:lang w:val="ru-RU"/>
        </w:rPr>
        <w:t xml:space="preserve"> деятельност</w:t>
      </w:r>
      <w:r w:rsidR="000105F1" w:rsidRPr="00DF1530">
        <w:rPr>
          <w:lang w:val="ru-RU"/>
        </w:rPr>
        <w:t>и</w:t>
      </w:r>
      <w:r w:rsidR="008C7A93" w:rsidRPr="00DF1530">
        <w:rPr>
          <w:lang w:val="ru-RU"/>
        </w:rPr>
        <w:t xml:space="preserve">. </w:t>
      </w:r>
      <w:r w:rsidR="000105F1" w:rsidRPr="00DF1530">
        <w:rPr>
          <w:lang w:val="ru-RU"/>
        </w:rPr>
        <w:t>Руководство часто не понимает предпринимательскую деятельность</w:t>
      </w:r>
      <w:r w:rsidR="008C7A93" w:rsidRPr="00DF1530">
        <w:rPr>
          <w:lang w:val="ru-RU"/>
        </w:rPr>
        <w:t xml:space="preserve">. </w:t>
      </w:r>
      <w:r w:rsidR="000105F1" w:rsidRPr="00DF1530">
        <w:rPr>
          <w:lang w:val="ru-RU"/>
        </w:rPr>
        <w:t xml:space="preserve">Поэтому должна быть принята </w:t>
      </w:r>
      <w:r w:rsidR="0023536F" w:rsidRPr="00DF1530">
        <w:rPr>
          <w:lang w:val="ru-RU"/>
        </w:rPr>
        <w:t>программа</w:t>
      </w:r>
      <w:r w:rsidR="008C7A93" w:rsidRPr="00DF1530">
        <w:rPr>
          <w:lang w:val="ru-RU"/>
        </w:rPr>
        <w:t xml:space="preserve"> </w:t>
      </w:r>
      <w:r w:rsidR="000105F1" w:rsidRPr="00DF1530">
        <w:rPr>
          <w:lang w:val="ru-RU"/>
        </w:rPr>
        <w:t>обучения и профессиональной подготовки для руководителей и персонала центров обслуживания, специально предусматривающая подготовку достаточного числа квалифицированных консультантов</w:t>
      </w:r>
      <w:r w:rsidR="008C7A93" w:rsidRPr="00DF1530">
        <w:rPr>
          <w:lang w:val="ru-RU"/>
        </w:rPr>
        <w:t xml:space="preserve"> </w:t>
      </w:r>
      <w:r w:rsidR="000105F1" w:rsidRPr="00DF1530">
        <w:rPr>
          <w:lang w:val="ru-RU"/>
        </w:rPr>
        <w:t>для анализа хозяйственной деятельности и предоставления консультаций</w:t>
      </w:r>
      <w:r w:rsidR="008C7A93" w:rsidRPr="00DF1530">
        <w:rPr>
          <w:lang w:val="ru-RU"/>
        </w:rPr>
        <w:t xml:space="preserve">. </w:t>
      </w:r>
      <w:r w:rsidR="00795AE6" w:rsidRPr="00DF1530">
        <w:rPr>
          <w:lang w:val="ru-RU"/>
        </w:rPr>
        <w:t>Кроме того,</w:t>
      </w:r>
      <w:r w:rsidR="008C7A93" w:rsidRPr="00DF1530">
        <w:rPr>
          <w:lang w:val="ru-RU"/>
        </w:rPr>
        <w:t xml:space="preserve"> </w:t>
      </w:r>
      <w:r w:rsidR="00B01F68" w:rsidRPr="00DF1530">
        <w:rPr>
          <w:lang w:val="ru-RU"/>
        </w:rPr>
        <w:t>федеральн</w:t>
      </w:r>
      <w:r w:rsidR="00A7643E" w:rsidRPr="00DF1530">
        <w:rPr>
          <w:lang w:val="ru-RU"/>
        </w:rPr>
        <w:t>ое</w:t>
      </w:r>
      <w:r w:rsidR="00B01F68" w:rsidRPr="00DF1530">
        <w:rPr>
          <w:lang w:val="ru-RU"/>
        </w:rPr>
        <w:t xml:space="preserve"> правительство должно организовать обучение и взаимодействие между различными </w:t>
      </w:r>
      <w:r w:rsidR="000105F1" w:rsidRPr="00DF1530">
        <w:rPr>
          <w:lang w:val="ru-RU"/>
        </w:rPr>
        <w:t>организаци</w:t>
      </w:r>
      <w:r w:rsidR="00B01F68" w:rsidRPr="00DF1530">
        <w:rPr>
          <w:lang w:val="ru-RU"/>
        </w:rPr>
        <w:t xml:space="preserve">ями по поддержке </w:t>
      </w:r>
      <w:r w:rsidR="00B01F68" w:rsidRPr="00DF1530">
        <w:rPr>
          <w:lang w:val="ru-RU"/>
        </w:rPr>
        <w:lastRenderedPageBreak/>
        <w:t>предпринимательской деятельности</w:t>
      </w:r>
      <w:r w:rsidR="008C7A93" w:rsidRPr="00DF1530">
        <w:rPr>
          <w:lang w:val="ru-RU"/>
        </w:rPr>
        <w:t xml:space="preserve">. </w:t>
      </w:r>
      <w:r w:rsidR="00A7643E" w:rsidRPr="00DF1530">
        <w:rPr>
          <w:lang w:val="ru-RU"/>
        </w:rPr>
        <w:t xml:space="preserve">Следует </w:t>
      </w:r>
      <w:r w:rsidR="00592D7B" w:rsidRPr="00DF1530">
        <w:rPr>
          <w:lang w:val="ru-RU"/>
        </w:rPr>
        <w:t>также</w:t>
      </w:r>
      <w:r w:rsidR="008C7A93" w:rsidRPr="00DF1530">
        <w:rPr>
          <w:lang w:val="ru-RU"/>
        </w:rPr>
        <w:t xml:space="preserve"> </w:t>
      </w:r>
      <w:r w:rsidR="00A7643E" w:rsidRPr="00DF1530">
        <w:rPr>
          <w:lang w:val="ru-RU"/>
        </w:rPr>
        <w:t xml:space="preserve">уделять внимание обеспечению стабильного финансирования дополнительных услуг, предлагаемых </w:t>
      </w:r>
      <w:r w:rsidR="000105F1" w:rsidRPr="00DF1530">
        <w:rPr>
          <w:lang w:val="ru-RU"/>
        </w:rPr>
        <w:t>организаци</w:t>
      </w:r>
      <w:r w:rsidR="00A7643E" w:rsidRPr="00DF1530">
        <w:rPr>
          <w:lang w:val="ru-RU"/>
        </w:rPr>
        <w:t>ями по развитию предпринимательской деятельности</w:t>
      </w:r>
      <w:r w:rsidR="008C7A93" w:rsidRPr="00DF1530">
        <w:rPr>
          <w:lang w:val="ru-RU"/>
        </w:rPr>
        <w:t xml:space="preserve">. </w:t>
      </w:r>
      <w:r w:rsidR="00644055" w:rsidRPr="00DF1530">
        <w:rPr>
          <w:lang w:val="ru-RU"/>
        </w:rPr>
        <w:t>Хотя в настоящее время распределение финансирования на конкурентной основе имеет то преимущество, что позволяет тесно увязать финансирование с приоритетами и вознаграждением за хорошие результаты деятельности</w:t>
      </w:r>
      <w:r w:rsidR="008C7A93" w:rsidRPr="00DF1530">
        <w:rPr>
          <w:lang w:val="ru-RU"/>
        </w:rPr>
        <w:t xml:space="preserve">, </w:t>
      </w:r>
      <w:r w:rsidR="00644055" w:rsidRPr="00DF1530">
        <w:rPr>
          <w:lang w:val="ru-RU"/>
        </w:rPr>
        <w:t xml:space="preserve">в долгосрочном плане это может повредить последовательности и согласованности предлагаемых услуг и усилиям по формированию масштабной стабильной </w:t>
      </w:r>
      <w:r w:rsidR="00AC6CBB" w:rsidRPr="00DF1530">
        <w:rPr>
          <w:lang w:val="ru-RU"/>
        </w:rPr>
        <w:t>инфраструктур</w:t>
      </w:r>
      <w:r w:rsidR="00644055" w:rsidRPr="00DF1530">
        <w:rPr>
          <w:lang w:val="ru-RU"/>
        </w:rPr>
        <w:t>ы</w:t>
      </w:r>
      <w:r w:rsidR="008C7A93" w:rsidRPr="00DF1530">
        <w:rPr>
          <w:lang w:val="ru-RU"/>
        </w:rPr>
        <w:t xml:space="preserve"> </w:t>
      </w:r>
      <w:r w:rsidR="00644055" w:rsidRPr="00DF1530">
        <w:rPr>
          <w:lang w:val="ru-RU"/>
        </w:rPr>
        <w:t>услуг на основе «обучения на собственном опыте»</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83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C0462" w:rsidRPr="00DF1530">
        <w:rPr>
          <w:lang w:val="ru-RU"/>
        </w:rPr>
        <w:t xml:space="preserve">В частности, обновления требует система </w:t>
      </w:r>
      <w:r w:rsidR="00B32F4A" w:rsidRPr="00DF1530">
        <w:rPr>
          <w:lang w:val="ru-RU"/>
        </w:rPr>
        <w:t>бизнес-инкубатор</w:t>
      </w:r>
      <w:r w:rsidR="00CC0462" w:rsidRPr="00DF1530">
        <w:rPr>
          <w:lang w:val="ru-RU"/>
        </w:rPr>
        <w:t>ов</w:t>
      </w:r>
      <w:r w:rsidR="008C7A93" w:rsidRPr="00DF1530">
        <w:rPr>
          <w:lang w:val="ru-RU"/>
        </w:rPr>
        <w:t xml:space="preserve">. </w:t>
      </w:r>
      <w:r w:rsidR="00CC0462" w:rsidRPr="00DF1530">
        <w:rPr>
          <w:lang w:val="ru-RU"/>
        </w:rPr>
        <w:t>При этом можно выделить две основные меры</w:t>
      </w:r>
      <w:r w:rsidR="008C7A93" w:rsidRPr="00DF1530">
        <w:rPr>
          <w:lang w:val="ru-RU"/>
        </w:rPr>
        <w:t xml:space="preserve">. </w:t>
      </w:r>
      <w:r w:rsidR="00CC0462" w:rsidRPr="00DF1530">
        <w:rPr>
          <w:lang w:val="ru-RU"/>
        </w:rPr>
        <w:t>Во-первых</w:t>
      </w:r>
      <w:r w:rsidR="008C7A93" w:rsidRPr="00DF1530">
        <w:rPr>
          <w:lang w:val="ru-RU"/>
        </w:rPr>
        <w:t xml:space="preserve">, </w:t>
      </w:r>
      <w:r w:rsidR="005F7159" w:rsidRPr="00DF1530">
        <w:rPr>
          <w:lang w:val="ru-RU"/>
        </w:rPr>
        <w:t xml:space="preserve">деятельность многих из </w:t>
      </w:r>
      <w:r w:rsidR="00976BC2" w:rsidRPr="00DF1530">
        <w:rPr>
          <w:lang w:val="ru-RU"/>
        </w:rPr>
        <w:t>существующи</w:t>
      </w:r>
      <w:r w:rsidR="005F7159" w:rsidRPr="00DF1530">
        <w:rPr>
          <w:lang w:val="ru-RU"/>
        </w:rPr>
        <w:t>х</w:t>
      </w:r>
      <w:r w:rsidR="008C7A93" w:rsidRPr="00DF1530">
        <w:rPr>
          <w:lang w:val="ru-RU"/>
        </w:rPr>
        <w:t xml:space="preserve"> </w:t>
      </w:r>
      <w:r w:rsidR="005F7159" w:rsidRPr="00DF1530">
        <w:rPr>
          <w:lang w:val="ru-RU"/>
        </w:rPr>
        <w:t xml:space="preserve">бизнес-инкубаторов </w:t>
      </w:r>
      <w:r w:rsidR="00533D94" w:rsidRPr="00DF1530">
        <w:rPr>
          <w:lang w:val="ru-RU"/>
        </w:rPr>
        <w:t>с</w:t>
      </w:r>
      <w:r w:rsidR="005F7159" w:rsidRPr="00DF1530">
        <w:rPr>
          <w:lang w:val="ru-RU"/>
        </w:rPr>
        <w:t xml:space="preserve">осредоточена на предоставлении физических площадей для </w:t>
      </w:r>
      <w:r w:rsidR="00834072" w:rsidRPr="00DF1530">
        <w:rPr>
          <w:lang w:val="ru-RU"/>
        </w:rPr>
        <w:t>предприяти</w:t>
      </w:r>
      <w:r w:rsidR="005F7159" w:rsidRPr="00DF1530">
        <w:rPr>
          <w:lang w:val="ru-RU"/>
        </w:rPr>
        <w:t>й</w:t>
      </w:r>
      <w:r w:rsidR="000A5CCD" w:rsidRPr="00DF1530">
        <w:rPr>
          <w:lang w:val="ru-RU"/>
        </w:rPr>
        <w:t>,</w:t>
      </w:r>
      <w:r w:rsidR="008C7A93" w:rsidRPr="00DF1530">
        <w:rPr>
          <w:lang w:val="ru-RU"/>
        </w:rPr>
        <w:t xml:space="preserve"> </w:t>
      </w:r>
      <w:r w:rsidR="000A5CCD" w:rsidRPr="00DF1530">
        <w:rPr>
          <w:lang w:val="ru-RU"/>
        </w:rPr>
        <w:t xml:space="preserve">наряду с </w:t>
      </w:r>
      <w:r w:rsidR="005F7159" w:rsidRPr="00DF1530">
        <w:rPr>
          <w:lang w:val="ru-RU"/>
        </w:rPr>
        <w:t>субсидированием арендной платы и доступом к государственным кредитам</w:t>
      </w:r>
      <w:r w:rsidR="008C7A93" w:rsidRPr="00DF1530">
        <w:rPr>
          <w:lang w:val="ru-RU"/>
        </w:rPr>
        <w:t xml:space="preserve"> </w:t>
      </w:r>
      <w:r w:rsidR="005F7159" w:rsidRPr="00DF1530">
        <w:rPr>
          <w:lang w:val="ru-RU"/>
        </w:rPr>
        <w:t>и кредитным гарантиям</w:t>
      </w:r>
      <w:r w:rsidR="008C7A93" w:rsidRPr="00DF1530">
        <w:rPr>
          <w:lang w:val="ru-RU"/>
        </w:rPr>
        <w:t xml:space="preserve">. </w:t>
      </w:r>
      <w:r w:rsidR="00DF1530" w:rsidRPr="00DF1530">
        <w:rPr>
          <w:lang w:val="ru-RU"/>
        </w:rPr>
        <w:t>Однако стандартное предложение должно также включать консультации</w:t>
      </w:r>
      <w:r w:rsidR="00DF1530">
        <w:rPr>
          <w:lang w:val="ru-RU"/>
        </w:rPr>
        <w:t>,</w:t>
      </w:r>
      <w:r w:rsidR="00DF1530" w:rsidRPr="00DF1530">
        <w:rPr>
          <w:lang w:val="ru-RU"/>
        </w:rPr>
        <w:t xml:space="preserve"> консультативные услуги и предварительную поддержку. </w:t>
      </w:r>
      <w:r w:rsidR="00E846EC" w:rsidRPr="00DF1530">
        <w:rPr>
          <w:lang w:val="ru-RU"/>
        </w:rPr>
        <w:t>Во-вторых</w:t>
      </w:r>
      <w:r w:rsidR="008C7A93" w:rsidRPr="00DF1530">
        <w:rPr>
          <w:lang w:val="ru-RU"/>
        </w:rPr>
        <w:t xml:space="preserve">, </w:t>
      </w:r>
      <w:r w:rsidR="00F736B7" w:rsidRPr="00DF1530">
        <w:rPr>
          <w:lang w:val="ru-RU"/>
        </w:rPr>
        <w:t>хотя</w:t>
      </w:r>
      <w:r w:rsidR="008C7A93" w:rsidRPr="00DF1530">
        <w:rPr>
          <w:lang w:val="ru-RU"/>
        </w:rPr>
        <w:t xml:space="preserve"> </w:t>
      </w:r>
      <w:r w:rsidR="00E846EC" w:rsidRPr="00DF1530">
        <w:rPr>
          <w:lang w:val="ru-RU"/>
        </w:rPr>
        <w:t>функции «стандартных» и «инновационных»</w:t>
      </w:r>
      <w:r w:rsidR="008C7A93" w:rsidRPr="00DF1530">
        <w:rPr>
          <w:lang w:val="ru-RU"/>
        </w:rPr>
        <w:t xml:space="preserve"> </w:t>
      </w:r>
      <w:r w:rsidR="00B32F4A" w:rsidRPr="00DF1530">
        <w:rPr>
          <w:lang w:val="ru-RU"/>
        </w:rPr>
        <w:t>бизнес-инкубатор</w:t>
      </w:r>
      <w:r w:rsidR="00E846EC" w:rsidRPr="00DF1530">
        <w:rPr>
          <w:lang w:val="ru-RU"/>
        </w:rPr>
        <w:t>ов</w:t>
      </w:r>
      <w:r w:rsidR="008C7A93" w:rsidRPr="00DF1530">
        <w:rPr>
          <w:lang w:val="ru-RU"/>
        </w:rPr>
        <w:t xml:space="preserve"> </w:t>
      </w:r>
      <w:r w:rsidR="00E846EC" w:rsidRPr="00DF1530">
        <w:rPr>
          <w:lang w:val="ru-RU"/>
        </w:rPr>
        <w:t>четко определены, и бизнес-инкубаторы</w:t>
      </w:r>
      <w:r w:rsidR="008C7A93" w:rsidRPr="00DF1530">
        <w:rPr>
          <w:lang w:val="ru-RU"/>
        </w:rPr>
        <w:t xml:space="preserve"> </w:t>
      </w:r>
      <w:r w:rsidR="00E846EC" w:rsidRPr="00DF1530">
        <w:rPr>
          <w:lang w:val="ru-RU"/>
        </w:rPr>
        <w:t>должны выполнять ежегодную проверку результатов деятельности</w:t>
      </w:r>
      <w:r w:rsidR="008C7A93" w:rsidRPr="00DF1530">
        <w:rPr>
          <w:lang w:val="ru-RU"/>
        </w:rPr>
        <w:t xml:space="preserve">, </w:t>
      </w:r>
      <w:r w:rsidR="00E846EC" w:rsidRPr="00DF1530">
        <w:rPr>
          <w:lang w:val="ru-RU"/>
        </w:rPr>
        <w:t xml:space="preserve">стандарты системы могут быть еще улучшены путем формирования </w:t>
      </w:r>
      <w:r w:rsidR="0010795B" w:rsidRPr="00DF1530">
        <w:rPr>
          <w:lang w:val="ru-RU"/>
        </w:rPr>
        <w:t>национальн</w:t>
      </w:r>
      <w:r w:rsidR="00E846EC" w:rsidRPr="00DF1530">
        <w:rPr>
          <w:lang w:val="ru-RU"/>
        </w:rPr>
        <w:t xml:space="preserve">ой </w:t>
      </w:r>
      <w:r w:rsidR="00B83DB5" w:rsidRPr="00DF1530">
        <w:rPr>
          <w:lang w:val="ru-RU"/>
        </w:rPr>
        <w:t>координаци</w:t>
      </w:r>
      <w:r w:rsidR="00E846EC" w:rsidRPr="00DF1530">
        <w:rPr>
          <w:lang w:val="ru-RU"/>
        </w:rPr>
        <w:t>онной организации</w:t>
      </w:r>
      <w:r w:rsidR="008C7A93" w:rsidRPr="00DF1530">
        <w:rPr>
          <w:lang w:val="ru-RU"/>
        </w:rPr>
        <w:t xml:space="preserve"> </w:t>
      </w:r>
      <w:r w:rsidR="00E846EC" w:rsidRPr="00DF1530">
        <w:rPr>
          <w:lang w:val="ru-RU"/>
        </w:rPr>
        <w:t xml:space="preserve">для </w:t>
      </w:r>
      <w:r w:rsidR="00B32F4A" w:rsidRPr="00DF1530">
        <w:rPr>
          <w:lang w:val="ru-RU"/>
        </w:rPr>
        <w:t>бизнес-инкубатор</w:t>
      </w:r>
      <w:r w:rsidR="00E846EC" w:rsidRPr="00DF1530">
        <w:rPr>
          <w:lang w:val="ru-RU"/>
        </w:rPr>
        <w:t>ов</w:t>
      </w:r>
      <w:r w:rsidR="008C7A93" w:rsidRPr="00DF1530">
        <w:rPr>
          <w:lang w:val="ru-RU"/>
        </w:rPr>
        <w:t xml:space="preserve">. </w:t>
      </w:r>
      <w:r w:rsidR="00E846EC" w:rsidRPr="00DF1530">
        <w:rPr>
          <w:lang w:val="ru-RU"/>
        </w:rPr>
        <w:t>Эта новая организация должна отвечать за составление стандартных рабочих инструкций и проверку результатов деятельности бизнес-инкубаторов</w:t>
      </w:r>
      <w:r w:rsidR="008C7A93" w:rsidRPr="00DF1530">
        <w:rPr>
          <w:lang w:val="ru-RU"/>
        </w:rPr>
        <w:t xml:space="preserve"> </w:t>
      </w:r>
      <w:r w:rsidR="00E846EC" w:rsidRPr="00DF1530">
        <w:rPr>
          <w:lang w:val="ru-RU"/>
        </w:rPr>
        <w:t>во всей стране</w:t>
      </w:r>
      <w:r w:rsidR="008C7A93" w:rsidRPr="00DF1530">
        <w:rPr>
          <w:lang w:val="ru-RU"/>
        </w:rPr>
        <w:t xml:space="preserve">, </w:t>
      </w:r>
      <w:r w:rsidR="00E846EC" w:rsidRPr="00DF1530">
        <w:rPr>
          <w:lang w:val="ru-RU"/>
        </w:rPr>
        <w:t xml:space="preserve">составление </w:t>
      </w:r>
      <w:r w:rsidR="0023536F" w:rsidRPr="00DF1530">
        <w:rPr>
          <w:lang w:val="ru-RU"/>
        </w:rPr>
        <w:t>программ</w:t>
      </w:r>
      <w:r w:rsidR="00E846EC" w:rsidRPr="00DF1530">
        <w:rPr>
          <w:lang w:val="ru-RU"/>
        </w:rPr>
        <w:t xml:space="preserve"> профессиональной подготовки</w:t>
      </w:r>
      <w:r w:rsidR="008C7A93" w:rsidRPr="00DF1530">
        <w:rPr>
          <w:lang w:val="ru-RU"/>
        </w:rPr>
        <w:t xml:space="preserve"> </w:t>
      </w:r>
      <w:r w:rsidR="00E846EC" w:rsidRPr="00DF1530">
        <w:rPr>
          <w:lang w:val="ru-RU"/>
        </w:rPr>
        <w:t>для персонала бизнес-инкубаторов и создание сети взаимного обучения для руководителей бизнес-инкубаторов</w:t>
      </w:r>
      <w:r w:rsidR="008C7A93" w:rsidRPr="00DF1530">
        <w:rPr>
          <w:lang w:val="ru-RU"/>
        </w:rPr>
        <w:t xml:space="preserve">. </w:t>
      </w:r>
    </w:p>
    <w:p w:rsidR="008C7A93" w:rsidRPr="00DF1530" w:rsidRDefault="00533D94" w:rsidP="008C7A93">
      <w:pPr>
        <w:pStyle w:val="31"/>
        <w:rPr>
          <w:lang w:val="ru-RU"/>
        </w:rPr>
      </w:pPr>
      <w:r w:rsidRPr="00DF1530">
        <w:rPr>
          <w:lang w:val="ru-RU"/>
        </w:rPr>
        <w:t>Основные рекомендации в области политики</w:t>
      </w:r>
      <w:r w:rsidR="008C7A93" w:rsidRPr="00DF1530">
        <w:rPr>
          <w:lang w:val="ru-RU"/>
        </w:rPr>
        <w:t xml:space="preserve"> </w:t>
      </w:r>
      <w:r w:rsidRPr="00DF1530">
        <w:rPr>
          <w:lang w:val="ru-RU"/>
        </w:rPr>
        <w:t xml:space="preserve">по </w:t>
      </w:r>
      <w:r w:rsidR="00EB1372" w:rsidRPr="00DF1530">
        <w:rPr>
          <w:lang w:val="ru-RU"/>
        </w:rPr>
        <w:t>федеральны</w:t>
      </w:r>
      <w:r w:rsidRPr="00DF1530">
        <w:rPr>
          <w:lang w:val="ru-RU"/>
        </w:rPr>
        <w:t>м</w:t>
      </w:r>
      <w:r w:rsidR="008C7A93" w:rsidRPr="00DF1530">
        <w:rPr>
          <w:lang w:val="ru-RU"/>
        </w:rPr>
        <w:t xml:space="preserve"> </w:t>
      </w:r>
      <w:r w:rsidRPr="00DF1530">
        <w:rPr>
          <w:lang w:val="ru-RU"/>
        </w:rPr>
        <w:t xml:space="preserve">программам по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092B3D" w:rsidP="008C7A93">
      <w:pPr>
        <w:pStyle w:val="Num-DocParagraph"/>
        <w:rPr>
          <w:lang w:val="ru-RU"/>
        </w:rPr>
      </w:pPr>
      <w:r w:rsidRPr="00DF1530">
        <w:rPr>
          <w:lang w:val="ru-RU"/>
        </w:rPr>
        <w:t>Предлагаются н</w:t>
      </w:r>
      <w:r w:rsidR="004F3F5F" w:rsidRPr="00DF1530">
        <w:rPr>
          <w:lang w:val="ru-RU"/>
        </w:rPr>
        <w:t>ижеследующие</w:t>
      </w:r>
      <w:r w:rsidR="008C7A93" w:rsidRPr="00DF1530">
        <w:rPr>
          <w:lang w:val="ru-RU"/>
        </w:rPr>
        <w:t xml:space="preserve"> </w:t>
      </w:r>
      <w:r w:rsidR="005E53F2" w:rsidRPr="00DF1530">
        <w:rPr>
          <w:lang w:val="ru-RU"/>
        </w:rPr>
        <w:t>рекомендации</w:t>
      </w:r>
      <w:r w:rsidR="008C7A93" w:rsidRPr="00DF1530">
        <w:rPr>
          <w:lang w:val="ru-RU"/>
        </w:rPr>
        <w:t xml:space="preserve"> </w:t>
      </w:r>
      <w:r w:rsidRPr="00DF1530">
        <w:rPr>
          <w:lang w:val="ru-RU"/>
        </w:rPr>
        <w:t xml:space="preserve">для улучшения </w:t>
      </w:r>
      <w:r w:rsidR="00EB1372" w:rsidRPr="00DF1530">
        <w:rPr>
          <w:lang w:val="ru-RU"/>
        </w:rPr>
        <w:t>федеральны</w:t>
      </w:r>
      <w:r w:rsidRPr="00DF1530">
        <w:rPr>
          <w:lang w:val="ru-RU"/>
        </w:rPr>
        <w:t>х</w:t>
      </w:r>
      <w:r w:rsidR="008C7A93" w:rsidRPr="00DF1530">
        <w:rPr>
          <w:lang w:val="ru-RU"/>
        </w:rPr>
        <w:t xml:space="preserve"> </w:t>
      </w:r>
      <w:r w:rsidRPr="00DF1530">
        <w:rPr>
          <w:lang w:val="ru-RU"/>
        </w:rPr>
        <w:t xml:space="preserve">программ поддержки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p>
    <w:p w:rsidR="008C7A93" w:rsidRPr="00DF1530" w:rsidRDefault="00A77422" w:rsidP="008C7A93">
      <w:pPr>
        <w:pStyle w:val="a"/>
        <w:rPr>
          <w:lang w:val="ru-RU"/>
        </w:rPr>
      </w:pPr>
      <w:r w:rsidRPr="00DF1530">
        <w:rPr>
          <w:lang w:val="ru-RU"/>
        </w:rPr>
        <w:t xml:space="preserve">Осуществлять распределение финансирования </w:t>
      </w:r>
      <w:r w:rsidR="001A23D0" w:rsidRPr="00DF1530">
        <w:rPr>
          <w:lang w:val="ru-RU"/>
        </w:rPr>
        <w:t>вместе с</w:t>
      </w:r>
      <w:r w:rsidR="008C7A93" w:rsidRPr="00DF1530">
        <w:rPr>
          <w:lang w:val="ru-RU"/>
        </w:rPr>
        <w:t xml:space="preserve"> </w:t>
      </w:r>
      <w:r w:rsidRPr="00DF1530">
        <w:rPr>
          <w:lang w:val="ru-RU"/>
        </w:rPr>
        <w:t xml:space="preserve">услугами по анализу хозяйственной деятельности и консультационными услугами для предпринимателей, которые создают или намерены создать предприятие, а также инновационных и </w:t>
      </w:r>
      <w:r w:rsidR="000D542E" w:rsidRPr="00DF1530">
        <w:rPr>
          <w:lang w:val="ru-RU"/>
        </w:rPr>
        <w:t>экспортно-ориентированн</w:t>
      </w:r>
      <w:r w:rsidRPr="00DF1530">
        <w:rPr>
          <w:lang w:val="ru-RU"/>
        </w:rPr>
        <w:t xml:space="preserve">ых </w:t>
      </w:r>
      <w:r w:rsidR="00F736B7" w:rsidRPr="00DF1530">
        <w:rPr>
          <w:lang w:val="ru-RU"/>
        </w:rPr>
        <w:t>МСП</w:t>
      </w:r>
      <w:r w:rsidRPr="00DF1530">
        <w:rPr>
          <w:lang w:val="ru-RU"/>
        </w:rPr>
        <w:t>,</w:t>
      </w:r>
      <w:r w:rsidR="008C7A93" w:rsidRPr="00DF1530">
        <w:rPr>
          <w:lang w:val="ru-RU"/>
        </w:rPr>
        <w:t xml:space="preserve"> </w:t>
      </w:r>
      <w:r w:rsidRPr="00DF1530">
        <w:rPr>
          <w:lang w:val="ru-RU"/>
        </w:rPr>
        <w:t xml:space="preserve">и расширить </w:t>
      </w:r>
      <w:r w:rsidR="00E57A1C" w:rsidRPr="00DF1530">
        <w:rPr>
          <w:lang w:val="ru-RU"/>
        </w:rPr>
        <w:t>поддержк</w:t>
      </w:r>
      <w:r w:rsidRPr="00DF1530">
        <w:rPr>
          <w:lang w:val="ru-RU"/>
        </w:rPr>
        <w:t>у</w:t>
      </w:r>
      <w:r w:rsidR="008C7A93" w:rsidRPr="00DF1530">
        <w:rPr>
          <w:lang w:val="ru-RU"/>
        </w:rPr>
        <w:t xml:space="preserve"> </w:t>
      </w:r>
      <w:r w:rsidRPr="00DF1530">
        <w:rPr>
          <w:lang w:val="ru-RU"/>
        </w:rPr>
        <w:t xml:space="preserve">небольших инновационных компаний, включив в нее нетехнологические </w:t>
      </w:r>
      <w:r w:rsidR="00D3769A" w:rsidRPr="00DF1530">
        <w:rPr>
          <w:lang w:val="ru-RU"/>
        </w:rPr>
        <w:t>инновации</w:t>
      </w:r>
      <w:r w:rsidR="008C7A93" w:rsidRPr="00DF1530">
        <w:rPr>
          <w:lang w:val="ru-RU"/>
        </w:rPr>
        <w:t xml:space="preserve">. </w:t>
      </w:r>
    </w:p>
    <w:p w:rsidR="008C7A93" w:rsidRPr="00DF1530" w:rsidRDefault="002E6E80" w:rsidP="008C7A93">
      <w:pPr>
        <w:pStyle w:val="a"/>
        <w:rPr>
          <w:lang w:val="ru-RU"/>
        </w:rPr>
      </w:pPr>
      <w:r w:rsidRPr="00DF1530">
        <w:rPr>
          <w:lang w:val="ru-RU"/>
        </w:rPr>
        <w:t xml:space="preserve">Усилить </w:t>
      </w:r>
      <w:r w:rsidR="00B83DB5" w:rsidRPr="00DF1530">
        <w:rPr>
          <w:lang w:val="ru-RU"/>
        </w:rPr>
        <w:t>координаци</w:t>
      </w:r>
      <w:r w:rsidRPr="00DF1530">
        <w:rPr>
          <w:lang w:val="ru-RU"/>
        </w:rPr>
        <w:t>ю</w:t>
      </w:r>
      <w:r w:rsidR="008C7A93" w:rsidRPr="00DF1530">
        <w:rPr>
          <w:lang w:val="ru-RU"/>
        </w:rPr>
        <w:t xml:space="preserve"> </w:t>
      </w:r>
      <w:r w:rsidRPr="00DF1530">
        <w:rPr>
          <w:lang w:val="ru-RU"/>
        </w:rPr>
        <w:t>между п</w:t>
      </w:r>
      <w:r w:rsidR="0023536F" w:rsidRPr="00DF1530">
        <w:rPr>
          <w:lang w:val="ru-RU"/>
        </w:rPr>
        <w:t>рограмм</w:t>
      </w:r>
      <w:r w:rsidRPr="00DF1530">
        <w:rPr>
          <w:lang w:val="ru-RU"/>
        </w:rPr>
        <w:t>ой поддержки самостоятельной занятости</w:t>
      </w:r>
      <w:r w:rsidR="008C7A93" w:rsidRPr="00DF1530">
        <w:rPr>
          <w:lang w:val="ru-RU"/>
        </w:rPr>
        <w:t xml:space="preserve"> </w:t>
      </w:r>
      <w:r w:rsidRPr="00DF1530">
        <w:rPr>
          <w:lang w:val="ru-RU"/>
        </w:rPr>
        <w:t>и программой г</w:t>
      </w:r>
      <w:r w:rsidR="008353AD" w:rsidRPr="00DF1530">
        <w:rPr>
          <w:lang w:val="ru-RU"/>
        </w:rPr>
        <w:t>рант</w:t>
      </w:r>
      <w:r w:rsidRPr="00DF1530">
        <w:rPr>
          <w:lang w:val="ru-RU"/>
        </w:rPr>
        <w:t>ов</w:t>
      </w:r>
      <w:r w:rsidR="008C7A93" w:rsidRPr="00DF1530">
        <w:rPr>
          <w:lang w:val="ru-RU"/>
        </w:rPr>
        <w:t xml:space="preserve"> </w:t>
      </w:r>
      <w:r w:rsidRPr="00DF1530">
        <w:rPr>
          <w:lang w:val="ru-RU"/>
        </w:rPr>
        <w:t>для перспективных п</w:t>
      </w:r>
      <w:r w:rsidR="00347E3A" w:rsidRPr="00DF1530">
        <w:rPr>
          <w:lang w:val="ru-RU"/>
        </w:rPr>
        <w:t>редпринимател</w:t>
      </w:r>
      <w:r w:rsidRPr="00DF1530">
        <w:rPr>
          <w:lang w:val="ru-RU"/>
        </w:rPr>
        <w:t>ей</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 xml:space="preserve">общую базу консультаций и </w:t>
      </w:r>
      <w:r w:rsidR="00E57A1C" w:rsidRPr="00DF1530">
        <w:rPr>
          <w:lang w:val="ru-RU"/>
        </w:rPr>
        <w:t>поддержк</w:t>
      </w:r>
      <w:r w:rsidRPr="00DF1530">
        <w:rPr>
          <w:lang w:val="ru-RU"/>
        </w:rPr>
        <w:t>и</w:t>
      </w:r>
      <w:r w:rsidR="008C7A93" w:rsidRPr="00DF1530">
        <w:rPr>
          <w:lang w:val="ru-RU"/>
        </w:rPr>
        <w:t xml:space="preserve">, </w:t>
      </w:r>
      <w:r w:rsidRPr="00DF1530">
        <w:rPr>
          <w:lang w:val="ru-RU"/>
        </w:rPr>
        <w:t>и упростить процесс отбора при распределении грантов на создание новых предприятий</w:t>
      </w:r>
      <w:r w:rsidR="008C7A93" w:rsidRPr="00DF1530">
        <w:rPr>
          <w:lang w:val="ru-RU"/>
        </w:rPr>
        <w:t xml:space="preserve">.  </w:t>
      </w:r>
    </w:p>
    <w:p w:rsidR="008C7A93" w:rsidRPr="00DF1530" w:rsidRDefault="00AD150E" w:rsidP="008C7A93">
      <w:pPr>
        <w:pStyle w:val="a"/>
        <w:rPr>
          <w:lang w:val="ru-RU"/>
        </w:rPr>
      </w:pPr>
      <w:r w:rsidRPr="00DF1530">
        <w:rPr>
          <w:lang w:val="ru-RU"/>
        </w:rPr>
        <w:t xml:space="preserve">Подготавливать будущих </w:t>
      </w:r>
      <w:r w:rsidR="00347E3A" w:rsidRPr="00DF1530">
        <w:rPr>
          <w:lang w:val="ru-RU"/>
        </w:rPr>
        <w:t>предпринимател</w:t>
      </w:r>
      <w:r w:rsidRPr="00DF1530">
        <w:rPr>
          <w:lang w:val="ru-RU"/>
        </w:rPr>
        <w:t>ей</w:t>
      </w:r>
      <w:r w:rsidR="008C7A93" w:rsidRPr="00DF1530">
        <w:rPr>
          <w:lang w:val="ru-RU"/>
        </w:rPr>
        <w:t xml:space="preserve">. </w:t>
      </w:r>
      <w:r w:rsidRPr="00DF1530">
        <w:rPr>
          <w:lang w:val="ru-RU"/>
        </w:rPr>
        <w:t xml:space="preserve">Это включает </w:t>
      </w:r>
      <w:r w:rsidR="009642B7" w:rsidRPr="00DF1530">
        <w:rPr>
          <w:lang w:val="ru-RU"/>
        </w:rPr>
        <w:t xml:space="preserve">подготовку </w:t>
      </w:r>
      <w:r w:rsidRPr="00DF1530">
        <w:rPr>
          <w:lang w:val="ru-RU"/>
        </w:rPr>
        <w:t xml:space="preserve">и </w:t>
      </w:r>
      <w:r w:rsidR="009642B7" w:rsidRPr="00DF1530">
        <w:rPr>
          <w:lang w:val="ru-RU"/>
        </w:rPr>
        <w:t xml:space="preserve">проведение </w:t>
      </w:r>
      <w:r w:rsidR="0010795B" w:rsidRPr="00DF1530">
        <w:rPr>
          <w:lang w:val="ru-RU"/>
        </w:rPr>
        <w:t>национальн</w:t>
      </w:r>
      <w:r w:rsidRPr="00DF1530">
        <w:rPr>
          <w:lang w:val="ru-RU"/>
        </w:rPr>
        <w:t>о</w:t>
      </w:r>
      <w:r w:rsidR="0010795B" w:rsidRPr="00DF1530">
        <w:rPr>
          <w:lang w:val="ru-RU"/>
        </w:rPr>
        <w:t>й</w:t>
      </w:r>
      <w:r w:rsidR="008C7A93" w:rsidRPr="00DF1530">
        <w:rPr>
          <w:lang w:val="ru-RU"/>
        </w:rPr>
        <w:t xml:space="preserve"> </w:t>
      </w:r>
      <w:r w:rsidRPr="00DF1530">
        <w:rPr>
          <w:lang w:val="ru-RU"/>
        </w:rPr>
        <w:t xml:space="preserve">кампании по пропаганде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совместно с </w:t>
      </w:r>
      <w:r w:rsidR="00BD25D1" w:rsidRPr="00DF1530">
        <w:rPr>
          <w:lang w:val="ru-RU"/>
        </w:rPr>
        <w:t>частны</w:t>
      </w:r>
      <w:r w:rsidRPr="00DF1530">
        <w:rPr>
          <w:lang w:val="ru-RU"/>
        </w:rPr>
        <w:t>м</w:t>
      </w:r>
      <w:r w:rsidR="00BD25D1" w:rsidRPr="00DF1530">
        <w:rPr>
          <w:lang w:val="ru-RU"/>
        </w:rPr>
        <w:t xml:space="preserve"> сектор</w:t>
      </w:r>
      <w:r w:rsidRPr="00DF1530">
        <w:rPr>
          <w:lang w:val="ru-RU"/>
        </w:rPr>
        <w:t>ом</w:t>
      </w:r>
      <w:r w:rsidR="008C7A93" w:rsidRPr="00DF1530">
        <w:rPr>
          <w:lang w:val="ru-RU"/>
        </w:rPr>
        <w:t xml:space="preserve"> </w:t>
      </w:r>
      <w:r w:rsidRPr="00DF1530">
        <w:rPr>
          <w:lang w:val="ru-RU"/>
        </w:rPr>
        <w:t xml:space="preserve">для формирования позитивного представления о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через средства массовой информации и другие каналы</w:t>
      </w:r>
      <w:r w:rsidR="008C7A93" w:rsidRPr="00DF1530">
        <w:rPr>
          <w:lang w:val="ru-RU"/>
        </w:rPr>
        <w:t xml:space="preserve">. </w:t>
      </w:r>
      <w:r w:rsidRPr="00DF1530">
        <w:rPr>
          <w:lang w:val="ru-RU"/>
        </w:rPr>
        <w:t xml:space="preserve">Это также включает разработку и финансирование качественных базовых </w:t>
      </w:r>
      <w:r w:rsidR="0010795B" w:rsidRPr="00DF1530">
        <w:rPr>
          <w:lang w:val="ru-RU"/>
        </w:rPr>
        <w:t>национальны</w:t>
      </w:r>
      <w:r w:rsidRPr="00DF1530">
        <w:rPr>
          <w:lang w:val="ru-RU"/>
        </w:rPr>
        <w:t>х</w:t>
      </w:r>
      <w:r w:rsidR="008C7A93" w:rsidRPr="00DF1530">
        <w:rPr>
          <w:lang w:val="ru-RU"/>
        </w:rPr>
        <w:t xml:space="preserve"> </w:t>
      </w:r>
      <w:r w:rsidRPr="00DF1530">
        <w:rPr>
          <w:lang w:val="ru-RU"/>
        </w:rPr>
        <w:t xml:space="preserve">курсов обучения для </w:t>
      </w:r>
      <w:r w:rsidR="00347E3A" w:rsidRPr="00DF1530">
        <w:rPr>
          <w:lang w:val="ru-RU"/>
        </w:rPr>
        <w:t>предпринимател</w:t>
      </w:r>
      <w:r w:rsidRPr="00DF1530">
        <w:rPr>
          <w:lang w:val="ru-RU"/>
        </w:rPr>
        <w:t xml:space="preserve">ей и потенциальных </w:t>
      </w:r>
      <w:r w:rsidR="00347E3A" w:rsidRPr="00DF1530">
        <w:rPr>
          <w:lang w:val="ru-RU"/>
        </w:rPr>
        <w:t>предпринимател</w:t>
      </w:r>
      <w:r w:rsidRPr="00DF1530">
        <w:rPr>
          <w:lang w:val="ru-RU"/>
        </w:rPr>
        <w:t>ей</w:t>
      </w:r>
      <w:r w:rsidR="008C7A93" w:rsidRPr="00DF1530">
        <w:rPr>
          <w:lang w:val="ru-RU"/>
        </w:rPr>
        <w:t xml:space="preserve">, </w:t>
      </w:r>
      <w:r w:rsidR="00297F6F" w:rsidRPr="00DF1530">
        <w:rPr>
          <w:lang w:val="ru-RU"/>
        </w:rPr>
        <w:t>включая</w:t>
      </w:r>
      <w:r w:rsidR="008C7A93" w:rsidRPr="00DF1530">
        <w:rPr>
          <w:lang w:val="ru-RU"/>
        </w:rPr>
        <w:t xml:space="preserve"> </w:t>
      </w:r>
      <w:r w:rsidR="00E57A1C" w:rsidRPr="00DF1530">
        <w:rPr>
          <w:lang w:val="ru-RU"/>
        </w:rPr>
        <w:t>поддержк</w:t>
      </w:r>
      <w:r w:rsidRPr="00DF1530">
        <w:rPr>
          <w:lang w:val="ru-RU"/>
        </w:rPr>
        <w:t>у</w:t>
      </w:r>
      <w:r w:rsidR="008C7A93" w:rsidRPr="00DF1530">
        <w:rPr>
          <w:lang w:val="ru-RU"/>
        </w:rPr>
        <w:t xml:space="preserve"> </w:t>
      </w:r>
      <w:r w:rsidRPr="00DF1530">
        <w:rPr>
          <w:lang w:val="ru-RU"/>
        </w:rPr>
        <w:t xml:space="preserve">для преподавателей и субсидирование затрат на обучение для большого </w:t>
      </w:r>
      <w:r w:rsidR="000A5CCD" w:rsidRPr="00DF1530">
        <w:rPr>
          <w:lang w:val="ru-RU"/>
        </w:rPr>
        <w:t xml:space="preserve">числа </w:t>
      </w:r>
      <w:r w:rsidRPr="00DF1530">
        <w:rPr>
          <w:lang w:val="ru-RU"/>
        </w:rPr>
        <w:t xml:space="preserve">будущих </w:t>
      </w:r>
      <w:r w:rsidR="00347E3A" w:rsidRPr="00DF1530">
        <w:rPr>
          <w:lang w:val="ru-RU"/>
        </w:rPr>
        <w:t>предпринимател</w:t>
      </w:r>
      <w:r w:rsidRPr="00DF1530">
        <w:rPr>
          <w:lang w:val="ru-RU"/>
        </w:rPr>
        <w:t>ей</w:t>
      </w:r>
      <w:r w:rsidR="008C7A93" w:rsidRPr="00DF1530">
        <w:rPr>
          <w:lang w:val="ru-RU"/>
        </w:rPr>
        <w:t xml:space="preserve">. </w:t>
      </w:r>
    </w:p>
    <w:p w:rsidR="008C7A93" w:rsidRPr="00DF1530" w:rsidRDefault="009642B7" w:rsidP="008C7A93">
      <w:pPr>
        <w:pStyle w:val="a"/>
        <w:rPr>
          <w:lang w:val="ru-RU"/>
        </w:rPr>
      </w:pPr>
      <w:r w:rsidRPr="00DF1530">
        <w:rPr>
          <w:lang w:val="ru-RU"/>
        </w:rPr>
        <w:t xml:space="preserve">Расширить и консолидировать обучение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основываясь на </w:t>
      </w:r>
      <w:r w:rsidR="00976BC2" w:rsidRPr="00DF1530">
        <w:rPr>
          <w:lang w:val="ru-RU"/>
        </w:rPr>
        <w:t>существующ</w:t>
      </w:r>
      <w:r w:rsidRPr="00DF1530">
        <w:rPr>
          <w:lang w:val="ru-RU"/>
        </w:rPr>
        <w:t>ем опыте</w:t>
      </w:r>
      <w:r w:rsidR="008C7A93" w:rsidRPr="00DF1530">
        <w:rPr>
          <w:lang w:val="ru-RU"/>
        </w:rPr>
        <w:t xml:space="preserve">. </w:t>
      </w:r>
      <w:r w:rsidRPr="00DF1530">
        <w:rPr>
          <w:lang w:val="ru-RU"/>
        </w:rPr>
        <w:t xml:space="preserve">Создать стимулы и цели для обучения </w:t>
      </w:r>
      <w:r w:rsidRPr="00DF1530">
        <w:rPr>
          <w:lang w:val="ru-RU"/>
        </w:rPr>
        <w:lastRenderedPageBreak/>
        <w:t xml:space="preserve">предпринимательской деятельности и </w:t>
      </w:r>
      <w:r w:rsidR="00E57A1C" w:rsidRPr="00DF1530">
        <w:rPr>
          <w:lang w:val="ru-RU"/>
        </w:rPr>
        <w:t>поддержк</w:t>
      </w:r>
      <w:r w:rsidRPr="00DF1530">
        <w:rPr>
          <w:lang w:val="ru-RU"/>
        </w:rPr>
        <w:t>и</w:t>
      </w:r>
      <w:r w:rsidR="008C7A93" w:rsidRPr="00DF1530">
        <w:rPr>
          <w:lang w:val="ru-RU"/>
        </w:rPr>
        <w:t xml:space="preserve"> </w:t>
      </w:r>
      <w:r w:rsidRPr="00DF1530">
        <w:rPr>
          <w:lang w:val="ru-RU"/>
        </w:rPr>
        <w:t xml:space="preserve">создания новых предприятий в университетах и предлагать </w:t>
      </w:r>
      <w:r w:rsidR="00E57A1C" w:rsidRPr="00DF1530">
        <w:rPr>
          <w:lang w:val="ru-RU"/>
        </w:rPr>
        <w:t>поддержк</w:t>
      </w:r>
      <w:r w:rsidRPr="00DF1530">
        <w:rPr>
          <w:lang w:val="ru-RU"/>
        </w:rPr>
        <w:t>у,</w:t>
      </w:r>
      <w:r w:rsidR="008C7A93" w:rsidRPr="00DF1530">
        <w:rPr>
          <w:lang w:val="ru-RU"/>
        </w:rPr>
        <w:t xml:space="preserve"> </w:t>
      </w:r>
      <w:r w:rsidRPr="00DF1530">
        <w:rPr>
          <w:lang w:val="ru-RU"/>
        </w:rPr>
        <w:t xml:space="preserve">такую, как предоставление учебных материалов для университетских преподавателей по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Использовать методы обучения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на всех уровнях образования, включив предмет по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r w:rsidRPr="00DF1530">
        <w:rPr>
          <w:lang w:val="ru-RU"/>
        </w:rPr>
        <w:t>в официальную образовательную программу на уровне начального и среднего образования</w:t>
      </w:r>
      <w:r w:rsidR="008C7A93" w:rsidRPr="00DF1530">
        <w:rPr>
          <w:lang w:val="ru-RU"/>
        </w:rPr>
        <w:t xml:space="preserve"> </w:t>
      </w:r>
      <w:r w:rsidRPr="00DF1530">
        <w:rPr>
          <w:lang w:val="ru-RU"/>
        </w:rPr>
        <w:t xml:space="preserve">и разработав методологическую основу и приготовительную </w:t>
      </w:r>
      <w:r w:rsidR="0023536F" w:rsidRPr="00DF1530">
        <w:rPr>
          <w:lang w:val="ru-RU"/>
        </w:rPr>
        <w:t>программ</w:t>
      </w:r>
      <w:r w:rsidRPr="00DF1530">
        <w:rPr>
          <w:lang w:val="ru-RU"/>
        </w:rPr>
        <w:t>у</w:t>
      </w:r>
      <w:r w:rsidR="008C7A93" w:rsidRPr="00DF1530">
        <w:rPr>
          <w:lang w:val="ru-RU"/>
        </w:rPr>
        <w:t xml:space="preserve"> </w:t>
      </w:r>
      <w:r w:rsidRPr="00DF1530">
        <w:rPr>
          <w:lang w:val="ru-RU"/>
        </w:rPr>
        <w:t xml:space="preserve">для школьных учителей с целью обучения </w:t>
      </w:r>
      <w:r w:rsidR="00834072" w:rsidRPr="00DF1530">
        <w:rPr>
          <w:lang w:val="ru-RU"/>
        </w:rPr>
        <w:t>предпринимательск</w:t>
      </w:r>
      <w:r w:rsidRPr="00DF1530">
        <w:rPr>
          <w:lang w:val="ru-RU"/>
        </w:rPr>
        <w:t>ой</w:t>
      </w:r>
      <w:r w:rsidR="00834072"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25E09" w:rsidP="008C7A93">
      <w:pPr>
        <w:pStyle w:val="a"/>
        <w:rPr>
          <w:lang w:val="ru-RU"/>
        </w:rPr>
      </w:pPr>
      <w:r w:rsidRPr="00DF1530">
        <w:rPr>
          <w:lang w:val="ru-RU"/>
        </w:rPr>
        <w:t xml:space="preserve">Принять </w:t>
      </w:r>
      <w:r w:rsidR="0023536F" w:rsidRPr="00DF1530">
        <w:rPr>
          <w:lang w:val="ru-RU"/>
        </w:rPr>
        <w:t>программ</w:t>
      </w:r>
      <w:r w:rsidRPr="00DF1530">
        <w:rPr>
          <w:lang w:val="ru-RU"/>
        </w:rPr>
        <w:t>у</w:t>
      </w:r>
      <w:r w:rsidR="008C7A93" w:rsidRPr="00DF1530">
        <w:rPr>
          <w:lang w:val="ru-RU"/>
        </w:rPr>
        <w:t xml:space="preserve"> </w:t>
      </w:r>
      <w:r w:rsidRPr="00DF1530">
        <w:rPr>
          <w:lang w:val="ru-RU"/>
        </w:rPr>
        <w:t>по вновь создаваемым предприятиям и МСП с высоким потенциалом роста,</w:t>
      </w:r>
      <w:r w:rsidR="008C7A93" w:rsidRPr="00DF1530">
        <w:rPr>
          <w:lang w:val="ru-RU"/>
        </w:rPr>
        <w:t xml:space="preserve"> </w:t>
      </w:r>
      <w:r w:rsidRPr="00DF1530">
        <w:rPr>
          <w:lang w:val="ru-RU"/>
        </w:rPr>
        <w:t xml:space="preserve">в которой будет определено небольшое количество </w:t>
      </w:r>
      <w:r w:rsidR="00F736B7" w:rsidRPr="00DF1530">
        <w:rPr>
          <w:lang w:val="ru-RU"/>
        </w:rPr>
        <w:t>фирм</w:t>
      </w:r>
      <w:r w:rsidR="008C7A93" w:rsidRPr="00DF1530">
        <w:rPr>
          <w:lang w:val="ru-RU"/>
        </w:rPr>
        <w:t xml:space="preserve"> </w:t>
      </w:r>
      <w:r w:rsidRPr="00DF1530">
        <w:rPr>
          <w:lang w:val="ru-RU"/>
        </w:rPr>
        <w:t xml:space="preserve">и </w:t>
      </w:r>
      <w:r w:rsidR="00347E3A" w:rsidRPr="00DF1530">
        <w:rPr>
          <w:lang w:val="ru-RU"/>
        </w:rPr>
        <w:t>предпринимател</w:t>
      </w:r>
      <w:r w:rsidRPr="00DF1530">
        <w:rPr>
          <w:lang w:val="ru-RU"/>
        </w:rPr>
        <w:t>ей с высоким потенциалом роста</w:t>
      </w:r>
      <w:r w:rsidR="008C7A93" w:rsidRPr="00DF1530">
        <w:rPr>
          <w:lang w:val="ru-RU"/>
        </w:rPr>
        <w:t xml:space="preserve"> </w:t>
      </w:r>
      <w:r w:rsidRPr="00DF1530">
        <w:rPr>
          <w:lang w:val="ru-RU"/>
        </w:rPr>
        <w:t>для предложениям им пакета услуг по анализу их хозяйственной деятельности и потребностей в развитии,</w:t>
      </w:r>
      <w:r w:rsidR="008C7A93" w:rsidRPr="00DF1530">
        <w:rPr>
          <w:lang w:val="ru-RU"/>
        </w:rPr>
        <w:t xml:space="preserve"> </w:t>
      </w:r>
      <w:r w:rsidR="001A23D0" w:rsidRPr="00DF1530">
        <w:rPr>
          <w:lang w:val="ru-RU"/>
        </w:rPr>
        <w:t>вместе с</w:t>
      </w:r>
      <w:r w:rsidRPr="00DF1530">
        <w:rPr>
          <w:lang w:val="ru-RU"/>
        </w:rPr>
        <w:t>о</w:t>
      </w:r>
      <w:r w:rsidR="008C7A93" w:rsidRPr="00DF1530">
        <w:rPr>
          <w:lang w:val="ru-RU"/>
        </w:rPr>
        <w:t xml:space="preserve"> </w:t>
      </w:r>
      <w:r w:rsidRPr="00DF1530">
        <w:rPr>
          <w:lang w:val="ru-RU"/>
        </w:rPr>
        <w:t>специальными услугами по инструктажу</w:t>
      </w:r>
      <w:r w:rsidR="008C7A93" w:rsidRPr="00DF1530">
        <w:rPr>
          <w:lang w:val="ru-RU"/>
        </w:rPr>
        <w:t xml:space="preserve">, </w:t>
      </w:r>
      <w:r w:rsidRPr="00DF1530">
        <w:rPr>
          <w:lang w:val="ru-RU"/>
        </w:rPr>
        <w:t>наставничеству</w:t>
      </w:r>
      <w:r w:rsidR="008C7A93" w:rsidRPr="00DF1530">
        <w:rPr>
          <w:lang w:val="ru-RU"/>
        </w:rPr>
        <w:t xml:space="preserve">, </w:t>
      </w:r>
      <w:r w:rsidRPr="00DF1530">
        <w:rPr>
          <w:lang w:val="ru-RU"/>
        </w:rPr>
        <w:t>консультированию</w:t>
      </w:r>
      <w:r w:rsidR="008C7A93" w:rsidRPr="00DF1530">
        <w:rPr>
          <w:lang w:val="ru-RU"/>
        </w:rPr>
        <w:t xml:space="preserve">, </w:t>
      </w:r>
      <w:r w:rsidRPr="00DF1530">
        <w:rPr>
          <w:lang w:val="ru-RU"/>
        </w:rPr>
        <w:t>технологическому развитию</w:t>
      </w:r>
      <w:r w:rsidR="008C7A93" w:rsidRPr="00DF1530">
        <w:rPr>
          <w:lang w:val="ru-RU"/>
        </w:rPr>
        <w:t xml:space="preserve">, </w:t>
      </w:r>
      <w:r w:rsidRPr="00DF1530">
        <w:rPr>
          <w:lang w:val="ru-RU"/>
        </w:rPr>
        <w:t>обучению руководства</w:t>
      </w:r>
      <w:r w:rsidR="008C7A93" w:rsidRPr="00DF1530">
        <w:rPr>
          <w:lang w:val="ru-RU"/>
        </w:rPr>
        <w:t xml:space="preserve">, </w:t>
      </w:r>
      <w:r w:rsidRPr="00DF1530">
        <w:rPr>
          <w:lang w:val="ru-RU"/>
        </w:rPr>
        <w:t>сетевому развитию и доступу к начальному и венчурному капиталу</w:t>
      </w:r>
      <w:r w:rsidR="008C7A93" w:rsidRPr="00DF1530">
        <w:rPr>
          <w:lang w:val="ru-RU"/>
        </w:rPr>
        <w:t>.</w:t>
      </w:r>
    </w:p>
    <w:p w:rsidR="008C7A93" w:rsidRPr="00DF1530" w:rsidRDefault="001A500C" w:rsidP="008C7A93">
      <w:pPr>
        <w:pStyle w:val="a"/>
        <w:rPr>
          <w:lang w:val="ru-RU"/>
        </w:rPr>
      </w:pPr>
      <w:r w:rsidRPr="00DF1530">
        <w:rPr>
          <w:lang w:val="ru-RU"/>
        </w:rPr>
        <w:t xml:space="preserve">Принять </w:t>
      </w:r>
      <w:r w:rsidR="0023536F" w:rsidRPr="00DF1530">
        <w:rPr>
          <w:lang w:val="ru-RU"/>
        </w:rPr>
        <w:t>программ</w:t>
      </w:r>
      <w:r w:rsidRPr="00DF1530">
        <w:rPr>
          <w:lang w:val="ru-RU"/>
        </w:rPr>
        <w:t>у</w:t>
      </w:r>
      <w:r w:rsidR="008C7A93" w:rsidRPr="00DF1530">
        <w:rPr>
          <w:lang w:val="ru-RU"/>
        </w:rPr>
        <w:t xml:space="preserve"> </w:t>
      </w:r>
      <w:r w:rsidRPr="00DF1530">
        <w:rPr>
          <w:lang w:val="ru-RU"/>
        </w:rPr>
        <w:t xml:space="preserve">развития поставщиков, в которой более стратегически рассматривается необходимость расширения способности и возможностей </w:t>
      </w:r>
      <w:r w:rsidR="00F736B7" w:rsidRPr="00DF1530">
        <w:rPr>
          <w:lang w:val="ru-RU"/>
        </w:rPr>
        <w:t>МСП</w:t>
      </w:r>
      <w:r w:rsidR="008C7A93" w:rsidRPr="00DF1530">
        <w:rPr>
          <w:lang w:val="ru-RU"/>
        </w:rPr>
        <w:t xml:space="preserve"> </w:t>
      </w:r>
      <w:r w:rsidRPr="00DF1530">
        <w:rPr>
          <w:lang w:val="ru-RU"/>
        </w:rPr>
        <w:t>получить доступ к цепочкам поставщиков</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 xml:space="preserve">выявление крупных «якорных </w:t>
      </w:r>
      <w:r w:rsidR="00F736B7" w:rsidRPr="00DF1530">
        <w:rPr>
          <w:lang w:val="ru-RU"/>
        </w:rPr>
        <w:t>фирм</w:t>
      </w:r>
      <w:r w:rsidR="004B4A98" w:rsidRPr="00DF1530">
        <w:rPr>
          <w:lang w:val="ru-RU"/>
        </w:rPr>
        <w:t>»</w:t>
      </w:r>
      <w:r w:rsidR="008C7A93" w:rsidRPr="00DF1530">
        <w:rPr>
          <w:lang w:val="ru-RU"/>
        </w:rPr>
        <w:t xml:space="preserve"> (</w:t>
      </w:r>
      <w:r w:rsidRPr="00DF1530">
        <w:rPr>
          <w:lang w:val="ru-RU"/>
        </w:rPr>
        <w:t>крупные национальные компании</w:t>
      </w:r>
      <w:r w:rsidR="008C7A93" w:rsidRPr="00DF1530">
        <w:rPr>
          <w:lang w:val="ru-RU"/>
        </w:rPr>
        <w:t xml:space="preserve"> </w:t>
      </w:r>
      <w:r w:rsidRPr="00DF1530">
        <w:rPr>
          <w:lang w:val="ru-RU"/>
        </w:rPr>
        <w:t>и многонациональные дочерние компании, действующие на местном уровне</w:t>
      </w:r>
      <w:r w:rsidR="008C7A93" w:rsidRPr="00DF1530">
        <w:rPr>
          <w:lang w:val="ru-RU"/>
        </w:rPr>
        <w:t xml:space="preserve">), </w:t>
      </w:r>
      <w:r w:rsidRPr="00DF1530">
        <w:rPr>
          <w:lang w:val="ru-RU"/>
        </w:rPr>
        <w:t xml:space="preserve">формирование связей с потенциальными поставщиками </w:t>
      </w:r>
      <w:r w:rsidR="00834072" w:rsidRPr="00DF1530">
        <w:rPr>
          <w:lang w:val="ru-RU"/>
        </w:rPr>
        <w:t>МСП</w:t>
      </w:r>
      <w:r w:rsidR="008C7A93" w:rsidRPr="00DF1530">
        <w:rPr>
          <w:lang w:val="ru-RU"/>
        </w:rPr>
        <w:t xml:space="preserve">, </w:t>
      </w:r>
      <w:r w:rsidRPr="00DF1530">
        <w:rPr>
          <w:lang w:val="ru-RU"/>
        </w:rPr>
        <w:t>а также обучение руководства</w:t>
      </w:r>
      <w:r w:rsidR="008C7A93" w:rsidRPr="00DF1530">
        <w:rPr>
          <w:lang w:val="ru-RU"/>
        </w:rPr>
        <w:t xml:space="preserve">, </w:t>
      </w:r>
      <w:r w:rsidRPr="00DF1530">
        <w:rPr>
          <w:lang w:val="ru-RU"/>
        </w:rPr>
        <w:t xml:space="preserve">консультационные услуги и </w:t>
      </w:r>
      <w:r w:rsidR="004A7BFD" w:rsidRPr="00DF1530">
        <w:rPr>
          <w:lang w:val="ru-RU"/>
        </w:rPr>
        <w:t>финансирование</w:t>
      </w:r>
      <w:r w:rsidRPr="00DF1530">
        <w:rPr>
          <w:lang w:val="ru-RU"/>
        </w:rPr>
        <w:t>,</w:t>
      </w:r>
      <w:r w:rsidR="008C7A93" w:rsidRPr="00DF1530">
        <w:rPr>
          <w:lang w:val="ru-RU"/>
        </w:rPr>
        <w:t xml:space="preserve"> </w:t>
      </w:r>
      <w:r w:rsidRPr="00DF1530">
        <w:rPr>
          <w:lang w:val="ru-RU"/>
        </w:rPr>
        <w:t xml:space="preserve">чтобы помочь поставщикам </w:t>
      </w:r>
      <w:r w:rsidR="00834072" w:rsidRPr="00DF1530">
        <w:rPr>
          <w:lang w:val="ru-RU"/>
        </w:rPr>
        <w:t>МСП</w:t>
      </w:r>
      <w:r w:rsidR="008C7A93" w:rsidRPr="00DF1530">
        <w:rPr>
          <w:lang w:val="ru-RU"/>
        </w:rPr>
        <w:t xml:space="preserve"> </w:t>
      </w:r>
      <w:r w:rsidRPr="00DF1530">
        <w:rPr>
          <w:lang w:val="ru-RU"/>
        </w:rPr>
        <w:t xml:space="preserve">повысить </w:t>
      </w:r>
      <w:r w:rsidR="00D571E4" w:rsidRPr="00DF1530">
        <w:rPr>
          <w:lang w:val="ru-RU"/>
        </w:rPr>
        <w:t>качество</w:t>
      </w:r>
      <w:r w:rsidR="008C7A93" w:rsidRPr="00DF1530">
        <w:rPr>
          <w:lang w:val="ru-RU"/>
        </w:rPr>
        <w:t xml:space="preserve"> </w:t>
      </w:r>
      <w:r w:rsidRPr="00DF1530">
        <w:rPr>
          <w:lang w:val="ru-RU"/>
        </w:rPr>
        <w:t>и эффективность своих продуктов и производственных процессов до международных стандартов</w:t>
      </w:r>
      <w:r w:rsidR="008C7A93" w:rsidRPr="00DF1530">
        <w:rPr>
          <w:lang w:val="ru-RU"/>
        </w:rPr>
        <w:t xml:space="preserve">.  </w:t>
      </w:r>
    </w:p>
    <w:p w:rsidR="008C7A93" w:rsidRPr="00DF1530" w:rsidRDefault="004D2A9D" w:rsidP="008C7A93">
      <w:pPr>
        <w:pStyle w:val="a"/>
        <w:rPr>
          <w:lang w:val="ru-RU"/>
        </w:rPr>
      </w:pPr>
      <w:r w:rsidRPr="00DF1530">
        <w:rPr>
          <w:lang w:val="ru-RU"/>
        </w:rPr>
        <w:t xml:space="preserve">Расширить и улучшить </w:t>
      </w:r>
      <w:r w:rsidR="00B32F4A" w:rsidRPr="00DF1530">
        <w:rPr>
          <w:lang w:val="ru-RU"/>
        </w:rPr>
        <w:t>инфраструктур</w:t>
      </w:r>
      <w:r w:rsidRPr="00DF1530">
        <w:rPr>
          <w:lang w:val="ru-RU"/>
        </w:rPr>
        <w:t>у</w:t>
      </w:r>
      <w:r w:rsidR="00B32F4A" w:rsidRPr="00DF1530">
        <w:rPr>
          <w:lang w:val="ru-RU"/>
        </w:rPr>
        <w:t xml:space="preserve"> услуг для развития предпринимательской деятельности</w:t>
      </w:r>
      <w:r w:rsidR="008C7A93" w:rsidRPr="00DF1530">
        <w:rPr>
          <w:lang w:val="ru-RU"/>
        </w:rPr>
        <w:t xml:space="preserve"> (</w:t>
      </w:r>
      <w:r w:rsidR="00E846EC" w:rsidRPr="00DF1530">
        <w:rPr>
          <w:lang w:val="ru-RU"/>
        </w:rPr>
        <w:t>бизнес-инкубаторы</w:t>
      </w:r>
      <w:r w:rsidR="008C7A93" w:rsidRPr="00DF1530">
        <w:rPr>
          <w:lang w:val="ru-RU"/>
        </w:rPr>
        <w:t xml:space="preserve">, </w:t>
      </w:r>
      <w:r w:rsidRPr="00DF1530">
        <w:rPr>
          <w:lang w:val="ru-RU"/>
        </w:rPr>
        <w:t xml:space="preserve">центры </w:t>
      </w:r>
      <w:r w:rsidR="00564893" w:rsidRPr="00DF1530">
        <w:rPr>
          <w:lang w:val="ru-RU"/>
        </w:rPr>
        <w:t xml:space="preserve">поддержки </w:t>
      </w:r>
      <w:r w:rsidRPr="00DF1530">
        <w:rPr>
          <w:lang w:val="ru-RU"/>
        </w:rPr>
        <w:t>предпринимательской деятельности</w:t>
      </w:r>
      <w:r w:rsidR="008C7A93" w:rsidRPr="00DF1530">
        <w:rPr>
          <w:lang w:val="ru-RU"/>
        </w:rPr>
        <w:t xml:space="preserve">, </w:t>
      </w:r>
      <w:r w:rsidRPr="00DF1530">
        <w:rPr>
          <w:lang w:val="ru-RU"/>
        </w:rPr>
        <w:t>центры экспортной поддержки и т.д.</w:t>
      </w:r>
      <w:r w:rsidR="008C7A93" w:rsidRPr="00DF1530">
        <w:rPr>
          <w:lang w:val="ru-RU"/>
        </w:rPr>
        <w:t xml:space="preserve">). </w:t>
      </w:r>
      <w:r w:rsidR="00564893" w:rsidRPr="00DF1530">
        <w:rPr>
          <w:lang w:val="ru-RU"/>
        </w:rPr>
        <w:t xml:space="preserve">Это включает определение недостаточности поддержки </w:t>
      </w:r>
      <w:r w:rsidR="003F5CB4" w:rsidRPr="00DF1530">
        <w:rPr>
          <w:lang w:val="ru-RU"/>
        </w:rPr>
        <w:t>МСП и предпринимательск</w:t>
      </w:r>
      <w:r w:rsidR="00564893" w:rsidRPr="00DF1530">
        <w:rPr>
          <w:lang w:val="ru-RU"/>
        </w:rPr>
        <w:t>ой</w:t>
      </w:r>
      <w:r w:rsidR="003F5CB4" w:rsidRPr="00DF1530">
        <w:rPr>
          <w:lang w:val="ru-RU"/>
        </w:rPr>
        <w:t xml:space="preserve"> деятельност</w:t>
      </w:r>
      <w:r w:rsidR="00564893" w:rsidRPr="00DF1530">
        <w:rPr>
          <w:lang w:val="ru-RU"/>
        </w:rPr>
        <w:t>и</w:t>
      </w:r>
      <w:r w:rsidR="008C7A93" w:rsidRPr="00DF1530">
        <w:rPr>
          <w:lang w:val="ru-RU"/>
        </w:rPr>
        <w:t xml:space="preserve"> </w:t>
      </w:r>
      <w:r w:rsidR="00564893" w:rsidRPr="00DF1530">
        <w:rPr>
          <w:lang w:val="ru-RU"/>
        </w:rPr>
        <w:t>в стране с целью формирования будущей политики</w:t>
      </w:r>
      <w:r w:rsidR="008C7A93" w:rsidRPr="00DF1530">
        <w:rPr>
          <w:lang w:val="ru-RU"/>
        </w:rPr>
        <w:t xml:space="preserve">. </w:t>
      </w:r>
      <w:r w:rsidR="00564893" w:rsidRPr="00DF1530">
        <w:rPr>
          <w:lang w:val="ru-RU"/>
        </w:rPr>
        <w:t xml:space="preserve">Должны быть также обеспечены стимулы и </w:t>
      </w:r>
      <w:r w:rsidR="0047268B" w:rsidRPr="00DF1530">
        <w:rPr>
          <w:lang w:val="ru-RU"/>
        </w:rPr>
        <w:t>возможности</w:t>
      </w:r>
      <w:r w:rsidR="008C7A93" w:rsidRPr="00DF1530">
        <w:rPr>
          <w:lang w:val="ru-RU"/>
        </w:rPr>
        <w:t xml:space="preserve"> </w:t>
      </w:r>
      <w:r w:rsidR="00564893" w:rsidRPr="00DF1530">
        <w:rPr>
          <w:lang w:val="ru-RU"/>
        </w:rPr>
        <w:t>для создания и эксплуатации объектов государственными</w:t>
      </w:r>
      <w:r w:rsidR="008C7A93" w:rsidRPr="00DF1530">
        <w:rPr>
          <w:lang w:val="ru-RU"/>
        </w:rPr>
        <w:t xml:space="preserve">, </w:t>
      </w:r>
      <w:r w:rsidR="00564893" w:rsidRPr="00DF1530">
        <w:rPr>
          <w:lang w:val="ru-RU"/>
        </w:rPr>
        <w:t xml:space="preserve">частными и некоммерческими </w:t>
      </w:r>
      <w:r w:rsidR="000105F1" w:rsidRPr="00DF1530">
        <w:rPr>
          <w:lang w:val="ru-RU"/>
        </w:rPr>
        <w:t>организаци</w:t>
      </w:r>
      <w:r w:rsidR="00564893" w:rsidRPr="00DF1530">
        <w:rPr>
          <w:lang w:val="ru-RU"/>
        </w:rPr>
        <w:t>ями</w:t>
      </w:r>
      <w:r w:rsidR="008C7A93" w:rsidRPr="00DF1530">
        <w:rPr>
          <w:lang w:val="ru-RU"/>
        </w:rPr>
        <w:t xml:space="preserve">. </w:t>
      </w:r>
      <w:r w:rsidR="00795AE6" w:rsidRPr="00DF1530">
        <w:rPr>
          <w:lang w:val="ru-RU"/>
        </w:rPr>
        <w:t>Кроме того,</w:t>
      </w:r>
      <w:r w:rsidR="008C7A93" w:rsidRPr="00DF1530">
        <w:rPr>
          <w:lang w:val="ru-RU"/>
        </w:rPr>
        <w:t xml:space="preserve"> </w:t>
      </w:r>
      <w:r w:rsidR="00564893" w:rsidRPr="00DF1530">
        <w:rPr>
          <w:lang w:val="ru-RU"/>
        </w:rPr>
        <w:t>должны быть организованы обучение и сертификация для руководителей</w:t>
      </w:r>
      <w:r w:rsidR="008C7A93" w:rsidRPr="00DF1530">
        <w:rPr>
          <w:lang w:val="ru-RU"/>
        </w:rPr>
        <w:t xml:space="preserve">, </w:t>
      </w:r>
      <w:r w:rsidR="00564893" w:rsidRPr="00DF1530">
        <w:rPr>
          <w:lang w:val="ru-RU"/>
        </w:rPr>
        <w:t xml:space="preserve">персонала и </w:t>
      </w:r>
      <w:r w:rsidR="000105F1" w:rsidRPr="00DF1530">
        <w:rPr>
          <w:lang w:val="ru-RU"/>
        </w:rPr>
        <w:t>консультант</w:t>
      </w:r>
      <w:r w:rsidR="00564893" w:rsidRPr="00DF1530">
        <w:rPr>
          <w:lang w:val="ru-RU"/>
        </w:rPr>
        <w:t>ов</w:t>
      </w:r>
      <w:r w:rsidR="008C7A93" w:rsidRPr="00DF1530">
        <w:rPr>
          <w:lang w:val="ru-RU"/>
        </w:rPr>
        <w:t xml:space="preserve"> </w:t>
      </w:r>
      <w:r w:rsidR="00564893" w:rsidRPr="00DF1530">
        <w:rPr>
          <w:lang w:val="ru-RU"/>
        </w:rPr>
        <w:t>в центрах поддержки предпринимательской деятельности</w:t>
      </w:r>
      <w:r w:rsidR="008C7A93" w:rsidRPr="00DF1530">
        <w:rPr>
          <w:lang w:val="ru-RU"/>
        </w:rPr>
        <w:t xml:space="preserve"> </w:t>
      </w:r>
      <w:r w:rsidR="00564893" w:rsidRPr="00DF1530">
        <w:rPr>
          <w:lang w:val="ru-RU"/>
        </w:rPr>
        <w:t xml:space="preserve">и должны быть сформированы связи между этими </w:t>
      </w:r>
      <w:r w:rsidR="000105F1" w:rsidRPr="00DF1530">
        <w:rPr>
          <w:lang w:val="ru-RU"/>
        </w:rPr>
        <w:t>организаци</w:t>
      </w:r>
      <w:r w:rsidR="00564893" w:rsidRPr="00DF1530">
        <w:rPr>
          <w:lang w:val="ru-RU"/>
        </w:rPr>
        <w:t>ями</w:t>
      </w:r>
      <w:r w:rsidR="008C7A93" w:rsidRPr="00DF1530">
        <w:rPr>
          <w:lang w:val="ru-RU"/>
        </w:rPr>
        <w:t xml:space="preserve"> </w:t>
      </w:r>
      <w:r w:rsidR="00564893" w:rsidRPr="00DF1530">
        <w:rPr>
          <w:lang w:val="ru-RU"/>
        </w:rPr>
        <w:t xml:space="preserve">для взаимного обмена </w:t>
      </w:r>
      <w:r w:rsidR="0023536F" w:rsidRPr="00DF1530">
        <w:rPr>
          <w:lang w:val="ru-RU"/>
        </w:rPr>
        <w:t>информаци</w:t>
      </w:r>
      <w:r w:rsidR="00564893" w:rsidRPr="00DF1530">
        <w:rPr>
          <w:lang w:val="ru-RU"/>
        </w:rPr>
        <w:t>ей</w:t>
      </w:r>
      <w:r w:rsidR="008C7A93" w:rsidRPr="00DF1530">
        <w:rPr>
          <w:lang w:val="ru-RU"/>
        </w:rPr>
        <w:t xml:space="preserve">, </w:t>
      </w:r>
      <w:r w:rsidR="00564893" w:rsidRPr="00DF1530">
        <w:rPr>
          <w:lang w:val="ru-RU"/>
        </w:rPr>
        <w:t>обучения на примере других организаций и направления клиентов в другие организации</w:t>
      </w:r>
      <w:r w:rsidR="008C7A93" w:rsidRPr="00DF1530">
        <w:rPr>
          <w:lang w:val="ru-RU"/>
        </w:rPr>
        <w:t xml:space="preserve">. </w:t>
      </w:r>
    </w:p>
    <w:p w:rsidR="008C7A93" w:rsidRPr="00DF1530" w:rsidRDefault="006440F8" w:rsidP="008C7A93">
      <w:pPr>
        <w:pStyle w:val="a"/>
        <w:rPr>
          <w:lang w:val="ru-RU"/>
        </w:rPr>
      </w:pPr>
      <w:r w:rsidRPr="00DF1530">
        <w:rPr>
          <w:lang w:val="ru-RU"/>
        </w:rPr>
        <w:t xml:space="preserve">Улучшить сеть </w:t>
      </w:r>
      <w:r w:rsidR="00B32F4A" w:rsidRPr="00DF1530">
        <w:rPr>
          <w:lang w:val="ru-RU"/>
        </w:rPr>
        <w:t>бизнес-инкубатор</w:t>
      </w:r>
      <w:r w:rsidRPr="00DF1530">
        <w:rPr>
          <w:lang w:val="ru-RU"/>
        </w:rPr>
        <w:t>ов</w:t>
      </w:r>
      <w:r w:rsidR="008C7A93" w:rsidRPr="00DF1530">
        <w:rPr>
          <w:lang w:val="ru-RU"/>
        </w:rPr>
        <w:t xml:space="preserve"> </w:t>
      </w:r>
      <w:r w:rsidRPr="00DF1530">
        <w:rPr>
          <w:lang w:val="ru-RU"/>
        </w:rPr>
        <w:t xml:space="preserve">путем увеличения количества </w:t>
      </w:r>
      <w:r w:rsidR="00B32F4A" w:rsidRPr="00DF1530">
        <w:rPr>
          <w:lang w:val="ru-RU"/>
        </w:rPr>
        <w:t>бизнес-инкубатор</w:t>
      </w:r>
      <w:r w:rsidRPr="00DF1530">
        <w:rPr>
          <w:lang w:val="ru-RU"/>
        </w:rPr>
        <w:t>ов</w:t>
      </w:r>
      <w:r w:rsidR="008C7A93" w:rsidRPr="00DF1530">
        <w:rPr>
          <w:lang w:val="ru-RU"/>
        </w:rPr>
        <w:t xml:space="preserve">, </w:t>
      </w:r>
      <w:r w:rsidRPr="00DF1530">
        <w:rPr>
          <w:lang w:val="ru-RU"/>
        </w:rPr>
        <w:t xml:space="preserve">предложения дополнительных услуг для </w:t>
      </w:r>
      <w:r w:rsidR="00834072" w:rsidRPr="00DF1530">
        <w:rPr>
          <w:lang w:val="ru-RU"/>
        </w:rPr>
        <w:t>предприяти</w:t>
      </w:r>
      <w:r w:rsidRPr="00DF1530">
        <w:rPr>
          <w:lang w:val="ru-RU"/>
        </w:rPr>
        <w:t xml:space="preserve">й, являющихся клиентами и потенциальными клиентами бизнес-инкубаторов, и создания </w:t>
      </w:r>
      <w:r w:rsidR="0010795B" w:rsidRPr="00DF1530">
        <w:rPr>
          <w:lang w:val="ru-RU"/>
        </w:rPr>
        <w:t>национальн</w:t>
      </w:r>
      <w:r w:rsidRPr="00DF1530">
        <w:rPr>
          <w:lang w:val="ru-RU"/>
        </w:rPr>
        <w:t>о</w:t>
      </w:r>
      <w:r w:rsidR="0010795B" w:rsidRPr="00DF1530">
        <w:rPr>
          <w:lang w:val="ru-RU"/>
        </w:rPr>
        <w:t>й</w:t>
      </w:r>
      <w:r w:rsidR="008C7A93" w:rsidRPr="00DF1530">
        <w:rPr>
          <w:lang w:val="ru-RU"/>
        </w:rPr>
        <w:t xml:space="preserve"> </w:t>
      </w:r>
      <w:r w:rsidRPr="00DF1530">
        <w:rPr>
          <w:lang w:val="ru-RU"/>
        </w:rPr>
        <w:t xml:space="preserve">организации по </w:t>
      </w:r>
      <w:r w:rsidR="00B83DB5" w:rsidRPr="00DF1530">
        <w:rPr>
          <w:lang w:val="ru-RU"/>
        </w:rPr>
        <w:t>координаци</w:t>
      </w:r>
      <w:r w:rsidRPr="00DF1530">
        <w:rPr>
          <w:lang w:val="ru-RU"/>
        </w:rPr>
        <w:t>и</w:t>
      </w:r>
      <w:r w:rsidR="008C7A93" w:rsidRPr="00DF1530">
        <w:rPr>
          <w:lang w:val="ru-RU"/>
        </w:rPr>
        <w:t xml:space="preserve"> </w:t>
      </w:r>
      <w:r w:rsidRPr="00DF1530">
        <w:rPr>
          <w:lang w:val="ru-RU"/>
        </w:rPr>
        <w:t>и управлению деятельностью бизнес-инкубаторов, отвечающей за контроль результатов деятельности</w:t>
      </w:r>
      <w:r w:rsidR="008C7A93" w:rsidRPr="00DF1530">
        <w:rPr>
          <w:lang w:val="ru-RU"/>
        </w:rPr>
        <w:t xml:space="preserve">, </w:t>
      </w:r>
      <w:r w:rsidRPr="00DF1530">
        <w:rPr>
          <w:lang w:val="ru-RU"/>
        </w:rPr>
        <w:t xml:space="preserve">развитие сетей взаимного обучения и разработку </w:t>
      </w:r>
      <w:r w:rsidR="0023536F" w:rsidRPr="00DF1530">
        <w:rPr>
          <w:lang w:val="ru-RU"/>
        </w:rPr>
        <w:t>программ</w:t>
      </w:r>
      <w:r w:rsidRPr="00DF1530">
        <w:rPr>
          <w:lang w:val="ru-RU"/>
        </w:rPr>
        <w:t xml:space="preserve"> профессиональной подготовки</w:t>
      </w:r>
      <w:r w:rsidR="00D057F5" w:rsidRPr="00DF1530">
        <w:rPr>
          <w:lang w:val="ru-RU"/>
        </w:rPr>
        <w:t>.</w:t>
      </w:r>
      <w:r w:rsidR="008C7A93" w:rsidRPr="00DF1530">
        <w:rPr>
          <w:lang w:val="ru-RU"/>
        </w:rPr>
        <w:t xml:space="preserve"> </w:t>
      </w:r>
    </w:p>
    <w:p w:rsidR="008C7A93" w:rsidRPr="00DF1530" w:rsidRDefault="006440F8" w:rsidP="008C7A93">
      <w:pPr>
        <w:pStyle w:val="a"/>
        <w:rPr>
          <w:lang w:val="ru-RU"/>
        </w:rPr>
      </w:pPr>
      <w:r w:rsidRPr="00DF1530">
        <w:rPr>
          <w:lang w:val="ru-RU"/>
        </w:rPr>
        <w:t xml:space="preserve">Создать </w:t>
      </w:r>
      <w:r w:rsidR="0010795B" w:rsidRPr="00DF1530">
        <w:rPr>
          <w:lang w:val="ru-RU"/>
        </w:rPr>
        <w:t>национальн</w:t>
      </w:r>
      <w:r w:rsidRPr="00DF1530">
        <w:rPr>
          <w:lang w:val="ru-RU"/>
        </w:rPr>
        <w:t>ую систему</w:t>
      </w:r>
      <w:r w:rsidR="008C7A93" w:rsidRPr="00DF1530">
        <w:rPr>
          <w:lang w:val="ru-RU"/>
        </w:rPr>
        <w:t xml:space="preserve"> </w:t>
      </w:r>
      <w:r w:rsidRPr="00DF1530">
        <w:rPr>
          <w:lang w:val="ru-RU"/>
        </w:rPr>
        <w:t xml:space="preserve">центров первичной </w:t>
      </w:r>
      <w:r w:rsidR="0023536F" w:rsidRPr="00DF1530">
        <w:rPr>
          <w:lang w:val="ru-RU"/>
        </w:rPr>
        <w:t>информаци</w:t>
      </w:r>
      <w:r w:rsidRPr="00DF1530">
        <w:rPr>
          <w:lang w:val="ru-RU"/>
        </w:rPr>
        <w:t>и</w:t>
      </w:r>
      <w:r w:rsidR="008C7A93" w:rsidRPr="00DF1530">
        <w:rPr>
          <w:lang w:val="ru-RU"/>
        </w:rPr>
        <w:t xml:space="preserve"> </w:t>
      </w:r>
      <w:r w:rsidRPr="00DF1530">
        <w:rPr>
          <w:lang w:val="ru-RU"/>
        </w:rPr>
        <w:t xml:space="preserve">по предпринимательской деятельности и консультационным услугам на основе единой </w:t>
      </w:r>
      <w:r w:rsidR="0010795B" w:rsidRPr="00DF1530">
        <w:rPr>
          <w:lang w:val="ru-RU"/>
        </w:rPr>
        <w:t>национальн</w:t>
      </w:r>
      <w:r w:rsidRPr="00DF1530">
        <w:rPr>
          <w:lang w:val="ru-RU"/>
        </w:rPr>
        <w:t>о</w:t>
      </w:r>
      <w:r w:rsidR="0010795B" w:rsidRPr="00DF1530">
        <w:rPr>
          <w:lang w:val="ru-RU"/>
        </w:rPr>
        <w:t>й</w:t>
      </w:r>
      <w:r w:rsidR="008C7A93" w:rsidRPr="00DF1530">
        <w:rPr>
          <w:lang w:val="ru-RU"/>
        </w:rPr>
        <w:t xml:space="preserve"> </w:t>
      </w:r>
      <w:r w:rsidRPr="00DF1530">
        <w:rPr>
          <w:lang w:val="ru-RU"/>
        </w:rPr>
        <w:t xml:space="preserve">платформы и бренда для увеличения доступности </w:t>
      </w:r>
      <w:r w:rsidR="00E57A1C" w:rsidRPr="00DF1530">
        <w:rPr>
          <w:lang w:val="ru-RU"/>
        </w:rPr>
        <w:t>поддержк</w:t>
      </w:r>
      <w:r w:rsidRPr="00DF1530">
        <w:rPr>
          <w:lang w:val="ru-RU"/>
        </w:rPr>
        <w:t>и</w:t>
      </w:r>
      <w:r w:rsidR="008C7A93" w:rsidRPr="00DF1530">
        <w:rPr>
          <w:lang w:val="ru-RU"/>
        </w:rPr>
        <w:t xml:space="preserve"> </w:t>
      </w:r>
      <w:r w:rsidRPr="00DF1530">
        <w:rPr>
          <w:lang w:val="ru-RU"/>
        </w:rPr>
        <w:t xml:space="preserve">для </w:t>
      </w:r>
      <w:r w:rsidR="00BA1F08" w:rsidRPr="00DF1530">
        <w:rPr>
          <w:lang w:val="ru-RU"/>
        </w:rPr>
        <w:t>МСП и предпринимател</w:t>
      </w:r>
      <w:r w:rsidRPr="00DF1530">
        <w:rPr>
          <w:lang w:val="ru-RU"/>
        </w:rPr>
        <w:t>ей</w:t>
      </w:r>
      <w:r w:rsidR="008C7A93" w:rsidRPr="00DF1530">
        <w:rPr>
          <w:lang w:val="ru-RU"/>
        </w:rPr>
        <w:t xml:space="preserve">. </w:t>
      </w:r>
    </w:p>
    <w:p w:rsidR="008C7A93" w:rsidRPr="00DF1530" w:rsidRDefault="008C7A93" w:rsidP="008C7A93">
      <w:pPr>
        <w:pStyle w:val="21"/>
        <w:rPr>
          <w:lang w:val="ru-RU"/>
        </w:rPr>
      </w:pPr>
      <w:bookmarkStart w:id="88" w:name="_Toc369561407"/>
      <w:bookmarkStart w:id="89" w:name="_Toc369603440"/>
      <w:bookmarkStart w:id="90" w:name="_Toc369603711"/>
      <w:bookmarkStart w:id="91" w:name="_Toc369604126"/>
      <w:bookmarkStart w:id="92" w:name="_Toc369607796"/>
      <w:bookmarkStart w:id="93" w:name="_Toc369607991"/>
      <w:bookmarkStart w:id="94" w:name="_Toc369609371"/>
      <w:bookmarkStart w:id="95" w:name="_Toc369609964"/>
      <w:bookmarkStart w:id="96" w:name="_Toc369614577"/>
      <w:bookmarkStart w:id="97" w:name="_Toc369614751"/>
      <w:bookmarkStart w:id="98" w:name="_Toc369614931"/>
      <w:bookmarkStart w:id="99" w:name="_Toc369616483"/>
      <w:bookmarkStart w:id="100" w:name="_Toc369682534"/>
      <w:bookmarkStart w:id="101" w:name="_Toc369709747"/>
      <w:bookmarkStart w:id="102" w:name="_Toc411535420"/>
      <w:r w:rsidRPr="00DF1530">
        <w:rPr>
          <w:lang w:val="ru-RU"/>
        </w:rPr>
        <w:lastRenderedPageBreak/>
        <w:t xml:space="preserve">1.5. </w:t>
      </w:r>
      <w:r w:rsidRPr="00DF1530">
        <w:rPr>
          <w:lang w:val="ru-RU"/>
        </w:rPr>
        <w:tab/>
      </w:r>
      <w:r w:rsidR="004A7BFD" w:rsidRPr="00DF1530">
        <w:rPr>
          <w:lang w:val="ru-RU"/>
        </w:rPr>
        <w:t>Финансирование</w:t>
      </w:r>
      <w:r w:rsidRPr="00DF1530">
        <w:rPr>
          <w:lang w:val="ru-RU"/>
        </w:rPr>
        <w:t xml:space="preserve"> </w:t>
      </w:r>
      <w:r w:rsidR="003F5CB4" w:rsidRPr="00DF1530">
        <w:rPr>
          <w:lang w:val="ru-RU"/>
        </w:rPr>
        <w:t>МСП и предпринимательск</w:t>
      </w:r>
      <w:r w:rsidR="006440F8" w:rsidRPr="00DF1530">
        <w:rPr>
          <w:lang w:val="ru-RU"/>
        </w:rPr>
        <w:t>ой</w:t>
      </w:r>
      <w:r w:rsidR="003F5CB4" w:rsidRPr="00DF1530">
        <w:rPr>
          <w:lang w:val="ru-RU"/>
        </w:rPr>
        <w:t xml:space="preserve"> деятельност</w:t>
      </w:r>
      <w:r w:rsidR="006440F8" w:rsidRPr="00DF1530">
        <w:rPr>
          <w:lang w:val="ru-RU"/>
        </w:rPr>
        <w:t>и</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8C7A93" w:rsidRPr="00DF1530" w:rsidRDefault="00B83F5A" w:rsidP="008C7A93">
      <w:pPr>
        <w:pStyle w:val="31"/>
        <w:rPr>
          <w:lang w:val="ru-RU"/>
        </w:rPr>
      </w:pPr>
      <w:r w:rsidRPr="00DF1530">
        <w:rPr>
          <w:lang w:val="ru-RU"/>
        </w:rPr>
        <w:t xml:space="preserve">Сохраняющаяся </w:t>
      </w:r>
      <w:r w:rsidR="00D3470B" w:rsidRPr="00DF1530">
        <w:rPr>
          <w:lang w:val="ru-RU"/>
        </w:rPr>
        <w:t xml:space="preserve">недостаточность банковского кредитования для </w:t>
      </w:r>
      <w:r w:rsidR="00BA1F08" w:rsidRPr="00DF1530">
        <w:rPr>
          <w:lang w:val="ru-RU"/>
        </w:rPr>
        <w:t>МСП и предпринимател</w:t>
      </w:r>
      <w:r w:rsidR="00D3470B" w:rsidRPr="00DF1530">
        <w:rPr>
          <w:lang w:val="ru-RU"/>
        </w:rPr>
        <w:t>ей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1D1A66" w:rsidRPr="00DF1530">
        <w:rPr>
          <w:lang w:val="ru-RU"/>
        </w:rPr>
        <w:t>Банковское ф</w:t>
      </w:r>
      <w:r w:rsidR="004A7BFD" w:rsidRPr="00DF1530">
        <w:rPr>
          <w:lang w:val="ru-RU"/>
        </w:rPr>
        <w:t>инансирование</w:t>
      </w:r>
      <w:r w:rsidR="001D1A66" w:rsidRPr="00DF1530">
        <w:rPr>
          <w:lang w:val="ru-RU"/>
        </w:rPr>
        <w:t>,</w:t>
      </w:r>
      <w:r w:rsidR="008C7A93" w:rsidRPr="00DF1530">
        <w:rPr>
          <w:lang w:val="ru-RU"/>
        </w:rPr>
        <w:t xml:space="preserve"> </w:t>
      </w:r>
      <w:r w:rsidR="001D1A66" w:rsidRPr="00DF1530">
        <w:rPr>
          <w:lang w:val="ru-RU"/>
        </w:rPr>
        <w:t xml:space="preserve">предоставляемое малым предприятиям </w:t>
      </w:r>
      <w:r w:rsidR="00834072" w:rsidRPr="00DF1530">
        <w:rPr>
          <w:lang w:val="ru-RU"/>
        </w:rPr>
        <w:t>в Российской Федерации</w:t>
      </w:r>
      <w:r w:rsidR="001D1A66" w:rsidRPr="00DF1530">
        <w:rPr>
          <w:lang w:val="ru-RU"/>
        </w:rPr>
        <w:t>, недостаточное</w:t>
      </w:r>
      <w:r w:rsidR="008C7A93" w:rsidRPr="00DF1530">
        <w:rPr>
          <w:lang w:val="ru-RU"/>
        </w:rPr>
        <w:t xml:space="preserve">. </w:t>
      </w:r>
      <w:r w:rsidR="00592D7B" w:rsidRPr="00DF1530">
        <w:rPr>
          <w:lang w:val="ru-RU"/>
        </w:rPr>
        <w:t>К примеру</w:t>
      </w:r>
      <w:r w:rsidR="008C7A93" w:rsidRPr="00DF1530">
        <w:rPr>
          <w:lang w:val="ru-RU"/>
        </w:rPr>
        <w:t xml:space="preserve">, </w:t>
      </w:r>
      <w:r w:rsidR="0047268B" w:rsidRPr="00DF1530">
        <w:rPr>
          <w:lang w:val="ru-RU"/>
        </w:rPr>
        <w:t>только</w:t>
      </w:r>
      <w:r w:rsidR="008C7A93" w:rsidRPr="00DF1530">
        <w:rPr>
          <w:lang w:val="ru-RU"/>
        </w:rPr>
        <w:t xml:space="preserve"> 21</w:t>
      </w:r>
      <w:r w:rsidR="001D1A66" w:rsidRPr="00DF1530">
        <w:rPr>
          <w:lang w:val="ru-RU"/>
        </w:rPr>
        <w:t>,</w:t>
      </w:r>
      <w:r w:rsidR="008C7A93" w:rsidRPr="00DF1530">
        <w:rPr>
          <w:lang w:val="ru-RU"/>
        </w:rPr>
        <w:t xml:space="preserve">6% </w:t>
      </w:r>
      <w:r w:rsidR="00834072" w:rsidRPr="00DF1530">
        <w:rPr>
          <w:lang w:val="ru-RU"/>
        </w:rPr>
        <w:t>предприяти</w:t>
      </w:r>
      <w:r w:rsidR="001D1A66" w:rsidRPr="00DF1530">
        <w:rPr>
          <w:lang w:val="ru-RU"/>
        </w:rPr>
        <w:t>й в Российской Федерации</w:t>
      </w:r>
      <w:r w:rsidR="008C7A93" w:rsidRPr="00DF1530">
        <w:rPr>
          <w:lang w:val="ru-RU"/>
        </w:rPr>
        <w:t xml:space="preserve"> </w:t>
      </w:r>
      <w:r w:rsidR="001D1A66" w:rsidRPr="00DF1530">
        <w:rPr>
          <w:lang w:val="ru-RU"/>
        </w:rPr>
        <w:t>в 2012 году имели доступ к банковским кредитам</w:t>
      </w:r>
      <w:r w:rsidR="008C7A93" w:rsidRPr="00DF1530">
        <w:rPr>
          <w:lang w:val="ru-RU"/>
        </w:rPr>
        <w:t xml:space="preserve">, </w:t>
      </w:r>
      <w:r w:rsidR="00B10BF3" w:rsidRPr="00DF1530">
        <w:rPr>
          <w:lang w:val="ru-RU"/>
        </w:rPr>
        <w:t>по сравнению</w:t>
      </w:r>
      <w:r w:rsidR="008C7A93" w:rsidRPr="00DF1530">
        <w:rPr>
          <w:lang w:val="ru-RU"/>
        </w:rPr>
        <w:t xml:space="preserve"> </w:t>
      </w:r>
      <w:r w:rsidR="001D1A66" w:rsidRPr="00DF1530">
        <w:rPr>
          <w:lang w:val="ru-RU"/>
        </w:rPr>
        <w:t xml:space="preserve">с </w:t>
      </w:r>
      <w:r w:rsidR="008C7A93" w:rsidRPr="00DF1530">
        <w:rPr>
          <w:lang w:val="ru-RU"/>
        </w:rPr>
        <w:t>43</w:t>
      </w:r>
      <w:r w:rsidR="001D1A66" w:rsidRPr="00DF1530">
        <w:rPr>
          <w:lang w:val="ru-RU"/>
        </w:rPr>
        <w:t>,</w:t>
      </w:r>
      <w:r w:rsidR="008C7A93" w:rsidRPr="00DF1530">
        <w:rPr>
          <w:lang w:val="ru-RU"/>
        </w:rPr>
        <w:t xml:space="preserve">4% </w:t>
      </w:r>
      <w:r w:rsidR="001D1A66" w:rsidRPr="00DF1530">
        <w:rPr>
          <w:lang w:val="ru-RU"/>
        </w:rPr>
        <w:t>в</w:t>
      </w:r>
      <w:r w:rsidR="008C7A93" w:rsidRPr="00DF1530">
        <w:rPr>
          <w:lang w:val="ru-RU"/>
        </w:rPr>
        <w:t xml:space="preserve"> </w:t>
      </w:r>
      <w:r w:rsidR="00D3769A" w:rsidRPr="00DF1530">
        <w:rPr>
          <w:lang w:val="ru-RU"/>
        </w:rPr>
        <w:t>Восточн</w:t>
      </w:r>
      <w:r w:rsidR="001D1A66" w:rsidRPr="00DF1530">
        <w:rPr>
          <w:lang w:val="ru-RU"/>
        </w:rPr>
        <w:t>ой</w:t>
      </w:r>
      <w:r w:rsidR="00D3769A" w:rsidRPr="00DF1530">
        <w:rPr>
          <w:lang w:val="ru-RU"/>
        </w:rPr>
        <w:t xml:space="preserve"> Европ</w:t>
      </w:r>
      <w:r w:rsidR="001D1A66" w:rsidRPr="00DF1530">
        <w:rPr>
          <w:lang w:val="ru-RU"/>
        </w:rPr>
        <w:t>е</w:t>
      </w:r>
      <w:r w:rsidR="008C7A93" w:rsidRPr="00DF1530">
        <w:rPr>
          <w:lang w:val="ru-RU"/>
        </w:rPr>
        <w:t xml:space="preserve"> </w:t>
      </w:r>
      <w:r w:rsidR="001D1A66" w:rsidRPr="00DF1530">
        <w:rPr>
          <w:lang w:val="ru-RU"/>
        </w:rPr>
        <w:t xml:space="preserve">и </w:t>
      </w:r>
      <w:r w:rsidR="00D3769A" w:rsidRPr="00DF1530">
        <w:rPr>
          <w:lang w:val="ru-RU"/>
        </w:rPr>
        <w:t>Центральн</w:t>
      </w:r>
      <w:r w:rsidR="001D1A66" w:rsidRPr="00DF1530">
        <w:rPr>
          <w:lang w:val="ru-RU"/>
        </w:rPr>
        <w:t>ой</w:t>
      </w:r>
      <w:r w:rsidR="00D3769A" w:rsidRPr="00DF1530">
        <w:rPr>
          <w:lang w:val="ru-RU"/>
        </w:rPr>
        <w:t xml:space="preserve"> Ази</w:t>
      </w:r>
      <w:r w:rsidR="001D1A66" w:rsidRPr="00DF1530">
        <w:rPr>
          <w:lang w:val="ru-RU"/>
        </w:rPr>
        <w:t>и</w:t>
      </w:r>
      <w:r w:rsidR="008C7A93" w:rsidRPr="00DF1530">
        <w:rPr>
          <w:lang w:val="ru-RU"/>
        </w:rPr>
        <w:t xml:space="preserve"> </w:t>
      </w:r>
      <w:r w:rsidR="001D1A66" w:rsidRPr="00DF1530">
        <w:rPr>
          <w:lang w:val="ru-RU"/>
        </w:rPr>
        <w:t xml:space="preserve">и </w:t>
      </w:r>
      <w:r w:rsidR="008C7A93" w:rsidRPr="00DF1530">
        <w:rPr>
          <w:lang w:val="ru-RU"/>
        </w:rPr>
        <w:t>46</w:t>
      </w:r>
      <w:r w:rsidR="001D1A66" w:rsidRPr="00DF1530">
        <w:rPr>
          <w:lang w:val="ru-RU"/>
        </w:rPr>
        <w:t>,</w:t>
      </w:r>
      <w:r w:rsidR="008C7A93" w:rsidRPr="00DF1530">
        <w:rPr>
          <w:lang w:val="ru-RU"/>
        </w:rPr>
        <w:t xml:space="preserve">3% </w:t>
      </w:r>
      <w:r w:rsidR="001D1A66" w:rsidRPr="00DF1530">
        <w:rPr>
          <w:lang w:val="ru-RU"/>
        </w:rPr>
        <w:t xml:space="preserve">в странах с </w:t>
      </w:r>
      <w:r w:rsidR="00353F0B" w:rsidRPr="00DF1530">
        <w:rPr>
          <w:lang w:val="ru-RU"/>
        </w:rPr>
        <w:t>доход</w:t>
      </w:r>
      <w:r w:rsidR="001D1A66" w:rsidRPr="00DF1530">
        <w:rPr>
          <w:lang w:val="ru-RU"/>
        </w:rPr>
        <w:t>ами</w:t>
      </w:r>
      <w:r w:rsidR="00353F0B" w:rsidRPr="00DF1530">
        <w:rPr>
          <w:lang w:val="ru-RU"/>
        </w:rPr>
        <w:t xml:space="preserve"> выше среднего</w:t>
      </w:r>
      <w:r w:rsidR="008C7A93" w:rsidRPr="00DF1530">
        <w:rPr>
          <w:lang w:val="ru-RU"/>
        </w:rPr>
        <w:t xml:space="preserve">. </w:t>
      </w:r>
      <w:r w:rsidR="001D1A66" w:rsidRPr="00DF1530">
        <w:rPr>
          <w:lang w:val="ru-RU"/>
        </w:rPr>
        <w:t>Высоки также ставки по кредитам</w:t>
      </w:r>
      <w:r w:rsidR="008C7A93" w:rsidRPr="00DF1530">
        <w:rPr>
          <w:lang w:val="ru-RU"/>
        </w:rPr>
        <w:t xml:space="preserve">, </w:t>
      </w:r>
      <w:r w:rsidR="001D1A66" w:rsidRPr="00DF1530">
        <w:rPr>
          <w:lang w:val="ru-RU"/>
        </w:rPr>
        <w:t>реальные процентные ставки и требования к обеспечению по банковским кредитам</w:t>
      </w:r>
      <w:r w:rsidR="008C7A93" w:rsidRPr="00DF1530">
        <w:rPr>
          <w:lang w:val="ru-RU"/>
        </w:rPr>
        <w:t xml:space="preserve">. </w:t>
      </w:r>
      <w:r w:rsidR="00F736B7" w:rsidRPr="00DF1530">
        <w:rPr>
          <w:lang w:val="ru-RU"/>
        </w:rPr>
        <w:t>В частности</w:t>
      </w:r>
      <w:r w:rsidR="008C7A93" w:rsidRPr="00DF1530">
        <w:rPr>
          <w:lang w:val="ru-RU"/>
        </w:rPr>
        <w:t xml:space="preserve">, </w:t>
      </w:r>
      <w:r w:rsidR="00FD401B" w:rsidRPr="00DF1530">
        <w:rPr>
          <w:lang w:val="ru-RU"/>
        </w:rPr>
        <w:t>существует большой неудовлетворенный спрос на долгосрочные банковские кредиты</w:t>
      </w:r>
      <w:r w:rsidR="008C7A93" w:rsidRPr="00DF1530">
        <w:rPr>
          <w:lang w:val="ru-RU"/>
        </w:rPr>
        <w:t xml:space="preserve">; </w:t>
      </w:r>
      <w:r w:rsidR="00FD401B" w:rsidRPr="00DF1530">
        <w:rPr>
          <w:lang w:val="ru-RU"/>
        </w:rPr>
        <w:t xml:space="preserve">лишь </w:t>
      </w:r>
      <w:r w:rsidR="008C7A93" w:rsidRPr="00DF1530">
        <w:rPr>
          <w:lang w:val="ru-RU"/>
        </w:rPr>
        <w:t xml:space="preserve">7-10% </w:t>
      </w:r>
      <w:r w:rsidR="00FD401B" w:rsidRPr="00DF1530">
        <w:rPr>
          <w:lang w:val="ru-RU"/>
        </w:rPr>
        <w:t xml:space="preserve">кредитов для </w:t>
      </w:r>
      <w:r w:rsidR="00F736B7" w:rsidRPr="00DF1530">
        <w:rPr>
          <w:lang w:val="ru-RU"/>
        </w:rPr>
        <w:t>МСП</w:t>
      </w:r>
      <w:r w:rsidR="008C7A93" w:rsidRPr="00DF1530">
        <w:rPr>
          <w:lang w:val="ru-RU"/>
        </w:rPr>
        <w:t xml:space="preserve"> </w:t>
      </w:r>
      <w:r w:rsidR="00FD401B" w:rsidRPr="00DF1530">
        <w:rPr>
          <w:lang w:val="ru-RU"/>
        </w:rPr>
        <w:t xml:space="preserve">предоставляются </w:t>
      </w:r>
      <w:r w:rsidR="003E7B9B" w:rsidRPr="00DF1530">
        <w:rPr>
          <w:lang w:val="ru-RU"/>
        </w:rPr>
        <w:t xml:space="preserve">сроком </w:t>
      </w:r>
      <w:r w:rsidR="00FD401B" w:rsidRPr="00DF1530">
        <w:rPr>
          <w:lang w:val="ru-RU"/>
        </w:rPr>
        <w:t xml:space="preserve">более чем на </w:t>
      </w:r>
      <w:r w:rsidR="008C7A93" w:rsidRPr="00DF1530">
        <w:rPr>
          <w:lang w:val="ru-RU"/>
        </w:rPr>
        <w:t xml:space="preserve">3 </w:t>
      </w:r>
      <w:r w:rsidR="00FD401B" w:rsidRPr="00DF1530">
        <w:rPr>
          <w:lang w:val="ru-RU"/>
        </w:rPr>
        <w:t>года</w:t>
      </w:r>
      <w:r w:rsidR="008C7A93" w:rsidRPr="00DF1530">
        <w:rPr>
          <w:lang w:val="ru-RU"/>
        </w:rPr>
        <w:t xml:space="preserve">. </w:t>
      </w:r>
      <w:r w:rsidR="00FD401B" w:rsidRPr="00DF1530">
        <w:rPr>
          <w:lang w:val="ru-RU"/>
        </w:rPr>
        <w:t xml:space="preserve">Недостаточность банковского кредитования для пополнения оборотного капитала и инвестиционного финансирования ограничивает развитие новых </w:t>
      </w:r>
      <w:r w:rsidR="00834072" w:rsidRPr="00DF1530">
        <w:rPr>
          <w:lang w:val="ru-RU"/>
        </w:rPr>
        <w:t>предприяти</w:t>
      </w:r>
      <w:r w:rsidR="00FD401B" w:rsidRPr="00DF1530">
        <w:rPr>
          <w:lang w:val="ru-RU"/>
        </w:rPr>
        <w:t>й</w:t>
      </w:r>
      <w:r w:rsidR="008C7A93" w:rsidRPr="00DF1530">
        <w:rPr>
          <w:lang w:val="ru-RU"/>
        </w:rPr>
        <w:t xml:space="preserve">, </w:t>
      </w:r>
      <w:r w:rsidR="00FD401B" w:rsidRPr="00DF1530">
        <w:rPr>
          <w:lang w:val="ru-RU"/>
        </w:rPr>
        <w:t>модернизацию</w:t>
      </w:r>
      <w:r w:rsidR="008C7A93" w:rsidRPr="00DF1530">
        <w:rPr>
          <w:lang w:val="ru-RU"/>
        </w:rPr>
        <w:t xml:space="preserve"> </w:t>
      </w:r>
      <w:r w:rsidR="00976BC2" w:rsidRPr="00DF1530">
        <w:rPr>
          <w:lang w:val="ru-RU"/>
        </w:rPr>
        <w:t>существующи</w:t>
      </w:r>
      <w:r w:rsidR="00FD401B" w:rsidRPr="00DF1530">
        <w:rPr>
          <w:lang w:val="ru-RU"/>
        </w:rPr>
        <w:t>х</w:t>
      </w:r>
      <w:r w:rsidR="008C7A93" w:rsidRPr="00DF1530">
        <w:rPr>
          <w:lang w:val="ru-RU"/>
        </w:rPr>
        <w:t xml:space="preserve"> </w:t>
      </w:r>
      <w:r w:rsidR="00F736B7" w:rsidRPr="00DF1530">
        <w:rPr>
          <w:lang w:val="ru-RU"/>
        </w:rPr>
        <w:t>МСП</w:t>
      </w:r>
      <w:r w:rsidR="008C7A93" w:rsidRPr="00DF1530">
        <w:rPr>
          <w:lang w:val="ru-RU"/>
        </w:rPr>
        <w:t xml:space="preserve"> </w:t>
      </w:r>
      <w:r w:rsidR="00FD401B" w:rsidRPr="00DF1530">
        <w:rPr>
          <w:lang w:val="ru-RU"/>
        </w:rPr>
        <w:t xml:space="preserve">и появление новых фирм с высоким потенциалом роста, которым требуются </w:t>
      </w:r>
      <w:r w:rsidR="00B32F4A" w:rsidRPr="00DF1530">
        <w:rPr>
          <w:lang w:val="ru-RU"/>
        </w:rPr>
        <w:t>инвестиции</w:t>
      </w:r>
      <w:r w:rsidR="00FD401B" w:rsidRPr="00DF1530">
        <w:rPr>
          <w:lang w:val="ru-RU"/>
        </w:rPr>
        <w:t xml:space="preserve"> в собственный капитал</w:t>
      </w:r>
      <w:r w:rsidR="008C7A93" w:rsidRPr="00DF1530">
        <w:rPr>
          <w:lang w:val="ru-RU"/>
        </w:rPr>
        <w:t xml:space="preserve">. </w:t>
      </w:r>
      <w:r w:rsidR="00FD401B" w:rsidRPr="00DF1530">
        <w:rPr>
          <w:lang w:val="ru-RU"/>
        </w:rPr>
        <w:t xml:space="preserve">Это часть более широкого контекста недостаточного развития всего кредитного рынка </w:t>
      </w:r>
      <w:r w:rsidR="00834072" w:rsidRPr="00DF1530">
        <w:rPr>
          <w:lang w:val="ru-RU"/>
        </w:rPr>
        <w:t>в Российской Федерации</w:t>
      </w:r>
      <w:r w:rsidR="008C7A93" w:rsidRPr="00DF1530">
        <w:rPr>
          <w:lang w:val="ru-RU"/>
        </w:rPr>
        <w:t xml:space="preserve">, </w:t>
      </w:r>
      <w:r w:rsidR="00F736B7" w:rsidRPr="00DF1530">
        <w:rPr>
          <w:lang w:val="ru-RU"/>
        </w:rPr>
        <w:t>по сравнению с</w:t>
      </w:r>
      <w:r w:rsidR="008C7A93" w:rsidRPr="00DF1530">
        <w:rPr>
          <w:lang w:val="ru-RU"/>
        </w:rPr>
        <w:t xml:space="preserve"> </w:t>
      </w:r>
      <w:r w:rsidR="00FD401B" w:rsidRPr="00DF1530">
        <w:rPr>
          <w:lang w:val="ru-RU"/>
        </w:rPr>
        <w:t>большинством стран «Группы двадцати»</w:t>
      </w:r>
      <w:r w:rsidR="008C7A93" w:rsidRPr="00DF1530">
        <w:rPr>
          <w:lang w:val="ru-RU"/>
        </w:rPr>
        <w:t xml:space="preserve">, </w:t>
      </w:r>
      <w:r w:rsidR="00FD401B" w:rsidRPr="00DF1530">
        <w:rPr>
          <w:lang w:val="ru-RU"/>
        </w:rPr>
        <w:t xml:space="preserve">по сумме внутреннего кредита, предоставляемого банковским сектором, в процентах от </w:t>
      </w:r>
      <w:r w:rsidR="00592D7B" w:rsidRPr="00DF1530">
        <w:rPr>
          <w:lang w:val="ru-RU"/>
        </w:rPr>
        <w:t>ВВП</w:t>
      </w:r>
      <w:r w:rsidR="008C7A93" w:rsidRPr="00DF1530">
        <w:rPr>
          <w:lang w:val="ru-RU"/>
        </w:rPr>
        <w:t xml:space="preserve"> (48% </w:t>
      </w:r>
      <w:r w:rsidR="00834072" w:rsidRPr="00DF1530">
        <w:rPr>
          <w:lang w:val="ru-RU"/>
        </w:rPr>
        <w:t>в Российской Федерации</w:t>
      </w:r>
      <w:r w:rsidR="008C7A93" w:rsidRPr="00DF1530">
        <w:rPr>
          <w:lang w:val="ru-RU"/>
        </w:rPr>
        <w:t xml:space="preserve"> </w:t>
      </w:r>
      <w:r w:rsidR="00701FAE" w:rsidRPr="00DF1530">
        <w:rPr>
          <w:lang w:val="ru-RU"/>
        </w:rPr>
        <w:t>в 2013 году</w:t>
      </w:r>
      <w:r w:rsidR="008C7A93" w:rsidRPr="00DF1530">
        <w:rPr>
          <w:lang w:val="ru-RU"/>
        </w:rPr>
        <w:t xml:space="preserve"> </w:t>
      </w:r>
      <w:r w:rsidR="00F736B7" w:rsidRPr="00DF1530">
        <w:rPr>
          <w:lang w:val="ru-RU"/>
        </w:rPr>
        <w:t>по сравнению с</w:t>
      </w:r>
      <w:r w:rsidR="008C7A93" w:rsidRPr="00DF1530">
        <w:rPr>
          <w:lang w:val="ru-RU"/>
        </w:rPr>
        <w:t xml:space="preserve"> 163% </w:t>
      </w:r>
      <w:r w:rsidR="00CB734F" w:rsidRPr="00DF1530">
        <w:rPr>
          <w:lang w:val="ru-RU"/>
        </w:rPr>
        <w:t>в Китае</w:t>
      </w:r>
      <w:r w:rsidR="008C7A93" w:rsidRPr="00DF1530">
        <w:rPr>
          <w:lang w:val="ru-RU"/>
        </w:rPr>
        <w:t xml:space="preserve"> </w:t>
      </w:r>
      <w:r w:rsidR="00FD401B" w:rsidRPr="00DF1530">
        <w:rPr>
          <w:lang w:val="ru-RU"/>
        </w:rPr>
        <w:t xml:space="preserve">и </w:t>
      </w:r>
      <w:r w:rsidR="008C7A93" w:rsidRPr="00DF1530">
        <w:rPr>
          <w:lang w:val="ru-RU"/>
        </w:rPr>
        <w:t xml:space="preserve">246% </w:t>
      </w:r>
      <w:r w:rsidR="00FD401B" w:rsidRPr="00DF1530">
        <w:rPr>
          <w:lang w:val="ru-RU"/>
        </w:rPr>
        <w:t>в США</w:t>
      </w:r>
      <w:r w:rsidR="008C7A93" w:rsidRPr="00DF1530">
        <w:rPr>
          <w:lang w:val="ru-RU"/>
        </w:rPr>
        <w:t xml:space="preserve">). </w:t>
      </w:r>
    </w:p>
    <w:p w:rsidR="008C7A93" w:rsidRPr="00DF1530" w:rsidRDefault="00F14910" w:rsidP="008C7A93">
      <w:pPr>
        <w:pStyle w:val="31"/>
        <w:rPr>
          <w:lang w:val="ru-RU"/>
        </w:rPr>
      </w:pPr>
      <w:r w:rsidRPr="00DF1530">
        <w:rPr>
          <w:lang w:val="ru-RU"/>
        </w:rPr>
        <w:t>Барьеры</w:t>
      </w:r>
      <w:r w:rsidR="008C7A93" w:rsidRPr="00DF1530">
        <w:rPr>
          <w:lang w:val="ru-RU"/>
        </w:rPr>
        <w:t xml:space="preserve"> </w:t>
      </w:r>
      <w:r w:rsidR="00FD401B" w:rsidRPr="00DF1530">
        <w:rPr>
          <w:lang w:val="ru-RU"/>
        </w:rPr>
        <w:t xml:space="preserve">для кредитования малых предприятий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E7B9B" w:rsidRPr="00DF1530">
        <w:rPr>
          <w:lang w:val="ru-RU"/>
        </w:rPr>
        <w:t>Одна из основных проблем с предоставлением банковских кредитов для</w:t>
      </w:r>
      <w:r w:rsidR="008C7A93" w:rsidRPr="00DF1530">
        <w:rPr>
          <w:lang w:val="ru-RU"/>
        </w:rPr>
        <w:t xml:space="preserve"> </w:t>
      </w:r>
      <w:r w:rsidR="00BA1F08" w:rsidRPr="00DF1530">
        <w:rPr>
          <w:lang w:val="ru-RU"/>
        </w:rPr>
        <w:t>МСП и предпринимател</w:t>
      </w:r>
      <w:r w:rsidR="003E7B9B" w:rsidRPr="00DF1530">
        <w:rPr>
          <w:lang w:val="ru-RU"/>
        </w:rPr>
        <w:t>ей</w:t>
      </w:r>
      <w:r w:rsidR="008C7A93" w:rsidRPr="00DF1530">
        <w:rPr>
          <w:lang w:val="ru-RU"/>
        </w:rPr>
        <w:t xml:space="preserve"> </w:t>
      </w:r>
      <w:r w:rsidR="00BD465D" w:rsidRPr="00DF1530">
        <w:rPr>
          <w:lang w:val="ru-RU"/>
        </w:rPr>
        <w:t xml:space="preserve">– </w:t>
      </w:r>
      <w:r w:rsidR="00834072" w:rsidRPr="00DF1530">
        <w:rPr>
          <w:lang w:val="ru-RU"/>
        </w:rPr>
        <w:t>сравнительно</w:t>
      </w:r>
      <w:r w:rsidR="008C7A93" w:rsidRPr="00DF1530">
        <w:rPr>
          <w:lang w:val="ru-RU"/>
        </w:rPr>
        <w:t xml:space="preserve"> </w:t>
      </w:r>
      <w:r w:rsidR="003E7B9B" w:rsidRPr="00DF1530">
        <w:rPr>
          <w:lang w:val="ru-RU"/>
        </w:rPr>
        <w:t xml:space="preserve">небольшое количество </w:t>
      </w:r>
      <w:r w:rsidR="00834072" w:rsidRPr="00DF1530">
        <w:rPr>
          <w:lang w:val="ru-RU"/>
        </w:rPr>
        <w:t>зарегистрированны</w:t>
      </w:r>
      <w:r w:rsidR="003E7B9B" w:rsidRPr="00DF1530">
        <w:rPr>
          <w:lang w:val="ru-RU"/>
        </w:rPr>
        <w:t>х</w:t>
      </w:r>
      <w:r w:rsidR="008C7A93" w:rsidRPr="00DF1530">
        <w:rPr>
          <w:lang w:val="ru-RU"/>
        </w:rPr>
        <w:t xml:space="preserve"> </w:t>
      </w:r>
      <w:r w:rsidR="003E7B9B" w:rsidRPr="00DF1530">
        <w:rPr>
          <w:lang w:val="ru-RU"/>
        </w:rPr>
        <w:t xml:space="preserve">банков и филиалов банков </w:t>
      </w:r>
      <w:r w:rsidR="00834072" w:rsidRPr="00DF1530">
        <w:rPr>
          <w:lang w:val="ru-RU"/>
        </w:rPr>
        <w:t>в Российской Федерации</w:t>
      </w:r>
      <w:r w:rsidR="008C7A93" w:rsidRPr="00DF1530">
        <w:rPr>
          <w:lang w:val="ru-RU"/>
        </w:rPr>
        <w:t xml:space="preserve"> </w:t>
      </w:r>
      <w:r w:rsidR="00D057F5" w:rsidRPr="00DF1530">
        <w:rPr>
          <w:lang w:val="ru-RU"/>
        </w:rPr>
        <w:t xml:space="preserve">для </w:t>
      </w:r>
      <w:r w:rsidR="003E7B9B" w:rsidRPr="00DF1530">
        <w:rPr>
          <w:lang w:val="ru-RU"/>
        </w:rPr>
        <w:t>страны</w:t>
      </w:r>
      <w:r w:rsidR="00D057F5" w:rsidRPr="00DF1530">
        <w:rPr>
          <w:lang w:val="ru-RU"/>
        </w:rPr>
        <w:t xml:space="preserve"> с такой территорией</w:t>
      </w:r>
      <w:r w:rsidR="008C7A93" w:rsidRPr="00DF1530">
        <w:rPr>
          <w:lang w:val="ru-RU"/>
        </w:rPr>
        <w:t xml:space="preserve">. </w:t>
      </w:r>
      <w:r w:rsidR="000D5BD8" w:rsidRPr="00DF1530">
        <w:rPr>
          <w:lang w:val="ru-RU"/>
        </w:rPr>
        <w:t>Государственный контроль</w:t>
      </w:r>
      <w:r w:rsidR="008C7A93" w:rsidRPr="00DF1530">
        <w:rPr>
          <w:lang w:val="ru-RU"/>
        </w:rPr>
        <w:t xml:space="preserve"> </w:t>
      </w:r>
      <w:r w:rsidR="00592D7B" w:rsidRPr="00DF1530">
        <w:rPr>
          <w:lang w:val="ru-RU"/>
        </w:rPr>
        <w:t>также</w:t>
      </w:r>
      <w:r w:rsidR="008C7A93" w:rsidRPr="00DF1530">
        <w:rPr>
          <w:lang w:val="ru-RU"/>
        </w:rPr>
        <w:t xml:space="preserve"> </w:t>
      </w:r>
      <w:r w:rsidR="003E7B9B" w:rsidRPr="00DF1530">
        <w:rPr>
          <w:lang w:val="ru-RU"/>
        </w:rPr>
        <w:t>очень строгий</w:t>
      </w:r>
      <w:r w:rsidR="008C7A93" w:rsidRPr="00DF1530">
        <w:rPr>
          <w:lang w:val="ru-RU"/>
        </w:rPr>
        <w:t xml:space="preserve">, </w:t>
      </w:r>
      <w:r w:rsidR="003E7B9B" w:rsidRPr="00DF1530">
        <w:rPr>
          <w:lang w:val="ru-RU"/>
        </w:rPr>
        <w:t>что является препятствием для появления новых частных банков</w:t>
      </w:r>
      <w:r w:rsidR="008C7A93" w:rsidRPr="00DF1530">
        <w:rPr>
          <w:lang w:val="ru-RU"/>
        </w:rPr>
        <w:t xml:space="preserve">. </w:t>
      </w:r>
      <w:r w:rsidR="003E7B9B" w:rsidRPr="00DF1530">
        <w:rPr>
          <w:lang w:val="ru-RU"/>
        </w:rPr>
        <w:t>Банкам под г</w:t>
      </w:r>
      <w:r w:rsidR="000D5BD8" w:rsidRPr="00DF1530">
        <w:rPr>
          <w:lang w:val="ru-RU"/>
        </w:rPr>
        <w:t>осударственны</w:t>
      </w:r>
      <w:r w:rsidR="003E7B9B" w:rsidRPr="00DF1530">
        <w:rPr>
          <w:lang w:val="ru-RU"/>
        </w:rPr>
        <w:t>м</w:t>
      </w:r>
      <w:r w:rsidR="000D5BD8" w:rsidRPr="00DF1530">
        <w:rPr>
          <w:lang w:val="ru-RU"/>
        </w:rPr>
        <w:t xml:space="preserve"> контрол</w:t>
      </w:r>
      <w:r w:rsidR="003E7B9B" w:rsidRPr="00DF1530">
        <w:rPr>
          <w:lang w:val="ru-RU"/>
        </w:rPr>
        <w:t xml:space="preserve">ем в 2012 году принадлежало около </w:t>
      </w:r>
      <w:r w:rsidR="008C7A93" w:rsidRPr="00DF1530">
        <w:rPr>
          <w:lang w:val="ru-RU"/>
        </w:rPr>
        <w:t xml:space="preserve">53% </w:t>
      </w:r>
      <w:r w:rsidR="003E7B9B" w:rsidRPr="00DF1530">
        <w:rPr>
          <w:lang w:val="ru-RU"/>
        </w:rPr>
        <w:t>суммарных активо</w:t>
      </w:r>
      <w:r w:rsidR="00D057F5" w:rsidRPr="00DF1530">
        <w:rPr>
          <w:lang w:val="ru-RU"/>
        </w:rPr>
        <w:t>в</w:t>
      </w:r>
      <w:r w:rsidR="003E7B9B" w:rsidRPr="00DF1530">
        <w:rPr>
          <w:lang w:val="ru-RU"/>
        </w:rPr>
        <w:t xml:space="preserve"> в банковском секторе</w:t>
      </w:r>
      <w:r w:rsidR="008C7A93" w:rsidRPr="00DF1530">
        <w:rPr>
          <w:lang w:val="ru-RU"/>
        </w:rPr>
        <w:t xml:space="preserve">. </w:t>
      </w:r>
      <w:r w:rsidR="003E7B9B" w:rsidRPr="00DF1530">
        <w:rPr>
          <w:lang w:val="ru-RU"/>
        </w:rPr>
        <w:t xml:space="preserve">Государство </w:t>
      </w:r>
      <w:r w:rsidR="00592D7B" w:rsidRPr="00DF1530">
        <w:rPr>
          <w:lang w:val="ru-RU"/>
        </w:rPr>
        <w:t>также</w:t>
      </w:r>
      <w:r w:rsidR="008C7A93" w:rsidRPr="00DF1530">
        <w:rPr>
          <w:lang w:val="ru-RU"/>
        </w:rPr>
        <w:t xml:space="preserve"> </w:t>
      </w:r>
      <w:r w:rsidR="003E7B9B" w:rsidRPr="00DF1530">
        <w:rPr>
          <w:lang w:val="ru-RU"/>
        </w:rPr>
        <w:t xml:space="preserve">активно участвует в кредитовании </w:t>
      </w:r>
      <w:r w:rsidR="00834072" w:rsidRPr="00DF1530">
        <w:rPr>
          <w:lang w:val="ru-RU"/>
        </w:rPr>
        <w:t>МСП</w:t>
      </w:r>
      <w:r w:rsidR="008C7A93" w:rsidRPr="00DF1530">
        <w:rPr>
          <w:lang w:val="ru-RU"/>
        </w:rPr>
        <w:t xml:space="preserve"> </w:t>
      </w:r>
      <w:r w:rsidR="003E7B9B" w:rsidRPr="00DF1530">
        <w:rPr>
          <w:lang w:val="ru-RU"/>
        </w:rPr>
        <w:t xml:space="preserve">путем предоставления </w:t>
      </w:r>
      <w:r w:rsidR="00E57A1C" w:rsidRPr="00DF1530">
        <w:rPr>
          <w:lang w:val="ru-RU"/>
        </w:rPr>
        <w:t>поддержк</w:t>
      </w:r>
      <w:r w:rsidR="003E7B9B" w:rsidRPr="00DF1530">
        <w:rPr>
          <w:lang w:val="ru-RU"/>
        </w:rPr>
        <w:t>и</w:t>
      </w:r>
      <w:r w:rsidR="008C7A93" w:rsidRPr="00DF1530">
        <w:rPr>
          <w:lang w:val="ru-RU"/>
        </w:rPr>
        <w:t xml:space="preserve"> </w:t>
      </w:r>
      <w:r w:rsidR="003E7B9B" w:rsidRPr="00DF1530">
        <w:rPr>
          <w:lang w:val="ru-RU"/>
        </w:rPr>
        <w:t>коммерческим банкам</w:t>
      </w:r>
      <w:r w:rsidR="008C7A93" w:rsidRPr="00DF1530">
        <w:rPr>
          <w:lang w:val="ru-RU"/>
        </w:rPr>
        <w:t xml:space="preserve">. </w:t>
      </w:r>
      <w:r w:rsidR="003E7B9B" w:rsidRPr="00DF1530">
        <w:rPr>
          <w:lang w:val="ru-RU"/>
        </w:rPr>
        <w:t xml:space="preserve">Постепенный отказ от кредитования </w:t>
      </w:r>
      <w:r w:rsidR="00834072" w:rsidRPr="00DF1530">
        <w:rPr>
          <w:lang w:val="ru-RU"/>
        </w:rPr>
        <w:t>МСП</w:t>
      </w:r>
      <w:r w:rsidR="008C7A93" w:rsidRPr="00DF1530">
        <w:rPr>
          <w:lang w:val="ru-RU"/>
        </w:rPr>
        <w:t xml:space="preserve"> </w:t>
      </w:r>
      <w:r w:rsidR="003E7B9B" w:rsidRPr="00DF1530">
        <w:rPr>
          <w:lang w:val="ru-RU"/>
        </w:rPr>
        <w:t xml:space="preserve">важен для долгосрочного развития рыночной финансовой системы в </w:t>
      </w:r>
      <w:r w:rsidR="00BD25D1" w:rsidRPr="00DF1530">
        <w:rPr>
          <w:lang w:val="ru-RU"/>
        </w:rPr>
        <w:t>частн</w:t>
      </w:r>
      <w:r w:rsidR="003E7B9B" w:rsidRPr="00DF1530">
        <w:rPr>
          <w:lang w:val="ru-RU"/>
        </w:rPr>
        <w:t>ом</w:t>
      </w:r>
      <w:r w:rsidR="00BD25D1" w:rsidRPr="00DF1530">
        <w:rPr>
          <w:lang w:val="ru-RU"/>
        </w:rPr>
        <w:t xml:space="preserve"> сектор</w:t>
      </w:r>
      <w:r w:rsidR="003E7B9B" w:rsidRPr="00DF1530">
        <w:rPr>
          <w:lang w:val="ru-RU"/>
        </w:rPr>
        <w:t>е</w:t>
      </w:r>
      <w:r w:rsidR="008C7A93" w:rsidRPr="00DF1530">
        <w:rPr>
          <w:lang w:val="ru-RU"/>
        </w:rPr>
        <w:t>.</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87</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337159" w:rsidRPr="00DF1530">
        <w:rPr>
          <w:lang w:val="ru-RU"/>
        </w:rPr>
        <w:t xml:space="preserve">Другая проблема </w:t>
      </w:r>
      <w:r w:rsidR="00BD465D" w:rsidRPr="00DF1530">
        <w:rPr>
          <w:lang w:val="ru-RU"/>
        </w:rPr>
        <w:t xml:space="preserve">– </w:t>
      </w:r>
      <w:r w:rsidR="00337159" w:rsidRPr="00DF1530">
        <w:rPr>
          <w:lang w:val="ru-RU"/>
        </w:rPr>
        <w:t xml:space="preserve">сложность оценки банками </w:t>
      </w:r>
      <w:r w:rsidR="00834072" w:rsidRPr="00DF1530">
        <w:rPr>
          <w:lang w:val="ru-RU"/>
        </w:rPr>
        <w:t>в Российской Федерации</w:t>
      </w:r>
      <w:r w:rsidR="008C7A93" w:rsidRPr="00DF1530">
        <w:rPr>
          <w:lang w:val="ru-RU"/>
        </w:rPr>
        <w:t xml:space="preserve"> </w:t>
      </w:r>
      <w:r w:rsidR="00337159" w:rsidRPr="00DF1530">
        <w:rPr>
          <w:lang w:val="ru-RU"/>
        </w:rPr>
        <w:t>риска потенциальных заемщиков</w:t>
      </w:r>
      <w:r w:rsidR="008C7A93" w:rsidRPr="00DF1530">
        <w:rPr>
          <w:lang w:val="ru-RU"/>
        </w:rPr>
        <w:t xml:space="preserve">, </w:t>
      </w:r>
      <w:r w:rsidR="00337159" w:rsidRPr="00DF1530">
        <w:rPr>
          <w:lang w:val="ru-RU"/>
        </w:rPr>
        <w:t>что заставляет их ограничивать суммы предоставляемых кредитов</w:t>
      </w:r>
      <w:r w:rsidR="008C7A93" w:rsidRPr="00DF1530">
        <w:rPr>
          <w:lang w:val="ru-RU"/>
        </w:rPr>
        <w:t xml:space="preserve">. </w:t>
      </w:r>
      <w:r w:rsidR="00337159" w:rsidRPr="00DF1530">
        <w:rPr>
          <w:lang w:val="ru-RU"/>
        </w:rPr>
        <w:t>Одна из причин этого заключается в не</w:t>
      </w:r>
      <w:r w:rsidR="00D77977" w:rsidRPr="00DF1530">
        <w:rPr>
          <w:lang w:val="ru-RU"/>
        </w:rPr>
        <w:t>прозрачност</w:t>
      </w:r>
      <w:r w:rsidR="00337159" w:rsidRPr="00DF1530">
        <w:rPr>
          <w:lang w:val="ru-RU"/>
        </w:rPr>
        <w:t>и</w:t>
      </w:r>
      <w:r w:rsidR="008C7A93" w:rsidRPr="00DF1530">
        <w:rPr>
          <w:lang w:val="ru-RU"/>
        </w:rPr>
        <w:t xml:space="preserve"> </w:t>
      </w:r>
      <w:r w:rsidR="00337159" w:rsidRPr="00DF1530">
        <w:rPr>
          <w:lang w:val="ru-RU"/>
        </w:rPr>
        <w:t xml:space="preserve">финансовой отчетности </w:t>
      </w:r>
      <w:r w:rsidR="00834072" w:rsidRPr="00DF1530">
        <w:rPr>
          <w:lang w:val="ru-RU"/>
        </w:rPr>
        <w:t>МСП</w:t>
      </w:r>
      <w:r w:rsidR="008C7A93" w:rsidRPr="00DF1530">
        <w:rPr>
          <w:lang w:val="ru-RU"/>
        </w:rPr>
        <w:t xml:space="preserve">, </w:t>
      </w:r>
      <w:r w:rsidR="00337159" w:rsidRPr="00DF1530">
        <w:rPr>
          <w:lang w:val="ru-RU"/>
        </w:rPr>
        <w:t>отчасти в связи с тем, что налоговая система этого не требует</w:t>
      </w:r>
      <w:r w:rsidR="008C7A93" w:rsidRPr="00DF1530">
        <w:rPr>
          <w:lang w:val="ru-RU"/>
        </w:rPr>
        <w:t xml:space="preserve">. </w:t>
      </w:r>
      <w:r w:rsidR="00337159" w:rsidRPr="00DF1530">
        <w:rPr>
          <w:lang w:val="ru-RU"/>
        </w:rPr>
        <w:t xml:space="preserve">Другая важная проблема </w:t>
      </w:r>
      <w:r w:rsidR="00BD465D" w:rsidRPr="00DF1530">
        <w:rPr>
          <w:lang w:val="ru-RU"/>
        </w:rPr>
        <w:t xml:space="preserve">– </w:t>
      </w:r>
      <w:r w:rsidR="00337159" w:rsidRPr="00DF1530">
        <w:rPr>
          <w:lang w:val="ru-RU"/>
        </w:rPr>
        <w:t>отсутствие эффективных технологий кредитования</w:t>
      </w:r>
      <w:r w:rsidR="008C7A93" w:rsidRPr="00DF1530">
        <w:rPr>
          <w:lang w:val="ru-RU"/>
        </w:rPr>
        <w:t xml:space="preserve">. </w:t>
      </w:r>
      <w:r w:rsidR="00F736B7" w:rsidRPr="00DF1530">
        <w:rPr>
          <w:lang w:val="ru-RU"/>
        </w:rPr>
        <w:t>В частности</w:t>
      </w:r>
      <w:r w:rsidR="008C7A93" w:rsidRPr="00DF1530">
        <w:rPr>
          <w:lang w:val="ru-RU"/>
        </w:rPr>
        <w:t xml:space="preserve">, </w:t>
      </w:r>
      <w:r w:rsidR="00337159" w:rsidRPr="00DF1530">
        <w:rPr>
          <w:lang w:val="ru-RU"/>
        </w:rPr>
        <w:t>подавляющее большинство банков не имеет доступа к средства</w:t>
      </w:r>
      <w:r w:rsidR="001B18F4" w:rsidRPr="00DF1530">
        <w:rPr>
          <w:lang w:val="ru-RU"/>
        </w:rPr>
        <w:t>м</w:t>
      </w:r>
      <w:r w:rsidR="00337159" w:rsidRPr="00DF1530">
        <w:rPr>
          <w:lang w:val="ru-RU"/>
        </w:rPr>
        <w:t xml:space="preserve"> оценки за</w:t>
      </w:r>
      <w:r w:rsidR="00BD465D" w:rsidRPr="00DF1530">
        <w:rPr>
          <w:lang w:val="ru-RU"/>
        </w:rPr>
        <w:t>е</w:t>
      </w:r>
      <w:r w:rsidR="00337159" w:rsidRPr="00DF1530">
        <w:rPr>
          <w:lang w:val="ru-RU"/>
        </w:rPr>
        <w:t>мщиков</w:t>
      </w:r>
      <w:r w:rsidR="008C7A93" w:rsidRPr="00DF1530">
        <w:rPr>
          <w:lang w:val="ru-RU"/>
        </w:rPr>
        <w:t xml:space="preserve">, </w:t>
      </w:r>
      <w:r w:rsidR="00337159" w:rsidRPr="00DF1530">
        <w:rPr>
          <w:lang w:val="ru-RU"/>
        </w:rPr>
        <w:t xml:space="preserve">что усугубляется практически полным </w:t>
      </w:r>
      <w:r w:rsidR="00FE69BF" w:rsidRPr="00DF1530">
        <w:rPr>
          <w:lang w:val="ru-RU"/>
        </w:rPr>
        <w:t>отсутствие</w:t>
      </w:r>
      <w:r w:rsidR="00337159" w:rsidRPr="00DF1530">
        <w:rPr>
          <w:lang w:val="ru-RU"/>
        </w:rPr>
        <w:t>м</w:t>
      </w:r>
      <w:r w:rsidR="008C7A93" w:rsidRPr="00DF1530">
        <w:rPr>
          <w:lang w:val="ru-RU"/>
        </w:rPr>
        <w:t xml:space="preserve"> </w:t>
      </w:r>
      <w:r w:rsidR="00337159" w:rsidRPr="00DF1530">
        <w:rPr>
          <w:lang w:val="ru-RU"/>
        </w:rPr>
        <w:t>централизованных бюро кредитной информации</w:t>
      </w:r>
      <w:r w:rsidR="008C7A93" w:rsidRPr="00DF1530">
        <w:rPr>
          <w:lang w:val="ru-RU"/>
        </w:rPr>
        <w:t xml:space="preserve">. </w:t>
      </w:r>
      <w:r w:rsidR="00337159" w:rsidRPr="00DF1530">
        <w:rPr>
          <w:lang w:val="ru-RU"/>
        </w:rPr>
        <w:t xml:space="preserve">Рынок межбанковского кредитования </w:t>
      </w:r>
      <w:r w:rsidR="00592D7B" w:rsidRPr="00DF1530">
        <w:rPr>
          <w:lang w:val="ru-RU"/>
        </w:rPr>
        <w:t>также</w:t>
      </w:r>
      <w:r w:rsidR="008C7A93" w:rsidRPr="00DF1530">
        <w:rPr>
          <w:lang w:val="ru-RU"/>
        </w:rPr>
        <w:t xml:space="preserve"> </w:t>
      </w:r>
      <w:r w:rsidR="00337159" w:rsidRPr="00DF1530">
        <w:rPr>
          <w:lang w:val="ru-RU"/>
        </w:rPr>
        <w:t>недостаточно развит</w:t>
      </w:r>
      <w:r w:rsidR="008C7A93" w:rsidRPr="00DF1530">
        <w:rPr>
          <w:lang w:val="ru-RU"/>
        </w:rPr>
        <w:t xml:space="preserve">, </w:t>
      </w:r>
      <w:r w:rsidR="00337159" w:rsidRPr="00DF1530">
        <w:rPr>
          <w:lang w:val="ru-RU"/>
        </w:rPr>
        <w:t xml:space="preserve">что ограничивает способность кредиторов рефинансировать долгосрочные кредиты для </w:t>
      </w:r>
      <w:r w:rsidR="00F736B7" w:rsidRPr="00DF1530">
        <w:rPr>
          <w:lang w:val="ru-RU"/>
        </w:rPr>
        <w:t>МСП</w:t>
      </w:r>
      <w:r w:rsidR="008C7A93" w:rsidRPr="00DF1530">
        <w:rPr>
          <w:lang w:val="ru-RU"/>
        </w:rPr>
        <w:t xml:space="preserve">. </w:t>
      </w:r>
    </w:p>
    <w:p w:rsidR="008C7A93" w:rsidRPr="00DF1530" w:rsidRDefault="001B18F4" w:rsidP="008C7A93">
      <w:pPr>
        <w:pStyle w:val="31"/>
        <w:rPr>
          <w:lang w:val="ru-RU"/>
        </w:rPr>
      </w:pPr>
      <w:r w:rsidRPr="00DF1530">
        <w:rPr>
          <w:lang w:val="ru-RU"/>
        </w:rPr>
        <w:t xml:space="preserve">Недостаточность недавних государственных инициатив по улучшению ситуации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89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7268B" w:rsidRPr="00DF1530">
        <w:rPr>
          <w:lang w:val="ru-RU"/>
        </w:rPr>
        <w:t>Несмотря на</w:t>
      </w:r>
      <w:r w:rsidR="008C7A93" w:rsidRPr="00DF1530">
        <w:rPr>
          <w:lang w:val="ru-RU"/>
        </w:rPr>
        <w:t xml:space="preserve"> </w:t>
      </w:r>
      <w:r w:rsidR="001B18F4" w:rsidRPr="00DF1530">
        <w:rPr>
          <w:lang w:val="ru-RU"/>
        </w:rPr>
        <w:t xml:space="preserve">эти проблемы, кредитование </w:t>
      </w:r>
      <w:r w:rsidR="003F5CB4" w:rsidRPr="00DF1530">
        <w:rPr>
          <w:lang w:val="ru-RU"/>
        </w:rPr>
        <w:t>МСП и предпринимательск</w:t>
      </w:r>
      <w:r w:rsidR="001B18F4" w:rsidRPr="00DF1530">
        <w:rPr>
          <w:lang w:val="ru-RU"/>
        </w:rPr>
        <w:t>ой</w:t>
      </w:r>
      <w:r w:rsidR="003F5CB4" w:rsidRPr="00DF1530">
        <w:rPr>
          <w:lang w:val="ru-RU"/>
        </w:rPr>
        <w:t xml:space="preserve"> деятельност</w:t>
      </w:r>
      <w:r w:rsidR="001B18F4" w:rsidRPr="00DF1530">
        <w:rPr>
          <w:lang w:val="ru-RU"/>
        </w:rPr>
        <w:t>и</w:t>
      </w:r>
      <w:r w:rsidR="008C7A93" w:rsidRPr="00DF1530">
        <w:rPr>
          <w:lang w:val="ru-RU"/>
        </w:rPr>
        <w:t xml:space="preserve"> </w:t>
      </w:r>
      <w:r w:rsidR="002A62C0" w:rsidRPr="00DF1530">
        <w:rPr>
          <w:lang w:val="ru-RU"/>
        </w:rPr>
        <w:t>значительно</w:t>
      </w:r>
      <w:r w:rsidR="008C7A93" w:rsidRPr="00DF1530">
        <w:rPr>
          <w:lang w:val="ru-RU"/>
        </w:rPr>
        <w:t xml:space="preserve"> </w:t>
      </w:r>
      <w:r w:rsidR="001B18F4" w:rsidRPr="00DF1530">
        <w:rPr>
          <w:lang w:val="ru-RU"/>
        </w:rPr>
        <w:t>улучшилось после мирового финансового кризиса</w:t>
      </w:r>
      <w:r w:rsidR="008C7A93" w:rsidRPr="00DF1530">
        <w:rPr>
          <w:lang w:val="ru-RU"/>
        </w:rPr>
        <w:t xml:space="preserve">. </w:t>
      </w:r>
      <w:r w:rsidR="00CB734F" w:rsidRPr="00DF1530">
        <w:rPr>
          <w:lang w:val="ru-RU"/>
        </w:rPr>
        <w:t>Таблица</w:t>
      </w:r>
      <w:r w:rsidR="008C7A93" w:rsidRPr="00DF1530">
        <w:rPr>
          <w:lang w:val="ru-RU"/>
        </w:rPr>
        <w:t xml:space="preserve"> 1.4 </w:t>
      </w:r>
      <w:r w:rsidR="001B18F4" w:rsidRPr="00DF1530">
        <w:rPr>
          <w:lang w:val="ru-RU"/>
        </w:rPr>
        <w:t>показывает</w:t>
      </w:r>
      <w:r w:rsidR="008C7A93" w:rsidRPr="00DF1530">
        <w:rPr>
          <w:lang w:val="ru-RU"/>
        </w:rPr>
        <w:t xml:space="preserve">, </w:t>
      </w:r>
      <w:r w:rsidR="00592D7B" w:rsidRPr="00DF1530">
        <w:rPr>
          <w:lang w:val="ru-RU"/>
        </w:rPr>
        <w:t>к примеру</w:t>
      </w:r>
      <w:r w:rsidR="008C7A93" w:rsidRPr="00DF1530">
        <w:rPr>
          <w:lang w:val="ru-RU"/>
        </w:rPr>
        <w:t xml:space="preserve">, </w:t>
      </w:r>
      <w:r w:rsidR="001B18F4" w:rsidRPr="00DF1530">
        <w:rPr>
          <w:lang w:val="ru-RU"/>
        </w:rPr>
        <w:t xml:space="preserve">что объем кредитов для </w:t>
      </w:r>
      <w:r w:rsidR="00834072" w:rsidRPr="00DF1530">
        <w:rPr>
          <w:lang w:val="ru-RU"/>
        </w:rPr>
        <w:t>МСП</w:t>
      </w:r>
      <w:r w:rsidR="008C7A93" w:rsidRPr="00DF1530">
        <w:rPr>
          <w:lang w:val="ru-RU"/>
        </w:rPr>
        <w:t xml:space="preserve"> </w:t>
      </w:r>
      <w:r w:rsidR="001B18F4" w:rsidRPr="00DF1530">
        <w:rPr>
          <w:lang w:val="ru-RU"/>
        </w:rPr>
        <w:t xml:space="preserve">увеличился с </w:t>
      </w:r>
      <w:r w:rsidR="008C7A93" w:rsidRPr="00DF1530">
        <w:rPr>
          <w:lang w:val="ru-RU"/>
        </w:rPr>
        <w:t>2</w:t>
      </w:r>
      <w:r w:rsidR="001B18F4" w:rsidRPr="00DF1530">
        <w:rPr>
          <w:lang w:val="ru-RU"/>
        </w:rPr>
        <w:t>,</w:t>
      </w:r>
      <w:r w:rsidR="008C7A93" w:rsidRPr="00DF1530">
        <w:rPr>
          <w:lang w:val="ru-RU"/>
        </w:rPr>
        <w:t xml:space="preserve">5 </w:t>
      </w:r>
      <w:r w:rsidR="009E3AC4" w:rsidRPr="00DF1530">
        <w:rPr>
          <w:lang w:val="ru-RU"/>
        </w:rPr>
        <w:t>миллиард</w:t>
      </w:r>
      <w:r w:rsidR="001B18F4" w:rsidRPr="00DF1530">
        <w:rPr>
          <w:lang w:val="ru-RU"/>
        </w:rPr>
        <w:t>а</w:t>
      </w:r>
      <w:r w:rsidR="008C7A93" w:rsidRPr="00DF1530">
        <w:rPr>
          <w:lang w:val="ru-RU"/>
        </w:rPr>
        <w:t xml:space="preserve"> </w:t>
      </w:r>
      <w:r w:rsidR="001B18F4" w:rsidRPr="00DF1530">
        <w:rPr>
          <w:lang w:val="ru-RU"/>
        </w:rPr>
        <w:t xml:space="preserve">рублей в </w:t>
      </w:r>
      <w:r w:rsidR="008C7A93" w:rsidRPr="00DF1530">
        <w:rPr>
          <w:lang w:val="ru-RU"/>
        </w:rPr>
        <w:t xml:space="preserve">2008 </w:t>
      </w:r>
      <w:r w:rsidR="001B18F4" w:rsidRPr="00DF1530">
        <w:rPr>
          <w:lang w:val="ru-RU"/>
        </w:rPr>
        <w:t xml:space="preserve">году до </w:t>
      </w:r>
      <w:r w:rsidR="008C7A93" w:rsidRPr="00DF1530">
        <w:rPr>
          <w:lang w:val="ru-RU"/>
        </w:rPr>
        <w:t>5</w:t>
      </w:r>
      <w:r w:rsidR="001B18F4" w:rsidRPr="00DF1530">
        <w:rPr>
          <w:lang w:val="ru-RU"/>
        </w:rPr>
        <w:t>,</w:t>
      </w:r>
      <w:r w:rsidR="008C7A93" w:rsidRPr="00DF1530">
        <w:rPr>
          <w:lang w:val="ru-RU"/>
        </w:rPr>
        <w:t xml:space="preserve">2 </w:t>
      </w:r>
      <w:r w:rsidR="001B18F4" w:rsidRPr="00DF1530">
        <w:rPr>
          <w:lang w:val="ru-RU"/>
        </w:rPr>
        <w:t xml:space="preserve">миллиарда рублей </w:t>
      </w:r>
      <w:r w:rsidR="00701FAE" w:rsidRPr="00DF1530">
        <w:rPr>
          <w:lang w:val="ru-RU"/>
        </w:rPr>
        <w:t>в 2013 году</w:t>
      </w:r>
      <w:r w:rsidR="008C7A93" w:rsidRPr="00DF1530">
        <w:rPr>
          <w:lang w:val="ru-RU"/>
        </w:rPr>
        <w:t xml:space="preserve">. </w:t>
      </w:r>
    </w:p>
    <w:p w:rsidR="008C7A93" w:rsidRPr="00DF1530" w:rsidRDefault="00CB734F" w:rsidP="008C7A93">
      <w:pPr>
        <w:pStyle w:val="TableTitle"/>
        <w:rPr>
          <w:lang w:val="ru-RU"/>
        </w:rPr>
      </w:pPr>
      <w:r w:rsidRPr="00DF1530">
        <w:rPr>
          <w:lang w:val="ru-RU"/>
        </w:rPr>
        <w:lastRenderedPageBreak/>
        <w:t>Таблица</w:t>
      </w:r>
      <w:r w:rsidR="008C7A93" w:rsidRPr="00DF1530">
        <w:rPr>
          <w:lang w:val="ru-RU"/>
        </w:rPr>
        <w:t xml:space="preserve"> 1.4.</w:t>
      </w:r>
      <w:r w:rsidR="008C7A93" w:rsidRPr="00DF1530">
        <w:rPr>
          <w:lang w:val="ru-RU"/>
        </w:rPr>
        <w:tab/>
      </w:r>
      <w:r w:rsidR="00DC5FB1" w:rsidRPr="00DF1530">
        <w:rPr>
          <w:lang w:val="ru-RU"/>
        </w:rPr>
        <w:t>Банковские кредиты</w:t>
      </w:r>
      <w:r w:rsidR="008C7A93" w:rsidRPr="00DF1530">
        <w:rPr>
          <w:lang w:val="ru-RU"/>
        </w:rPr>
        <w:t xml:space="preserve"> </w:t>
      </w:r>
      <w:r w:rsidR="00DC5FB1" w:rsidRPr="00DF1530">
        <w:rPr>
          <w:lang w:val="ru-RU"/>
        </w:rPr>
        <w:t xml:space="preserve">для </w:t>
      </w:r>
      <w:r w:rsidR="00F736B7" w:rsidRPr="00DF1530">
        <w:rPr>
          <w:lang w:val="ru-RU"/>
        </w:rPr>
        <w:t>МСП</w:t>
      </w:r>
      <w:r w:rsidR="008C7A93" w:rsidRPr="00DF1530">
        <w:rPr>
          <w:lang w:val="ru-RU"/>
        </w:rPr>
        <w:t xml:space="preserve"> </w:t>
      </w:r>
      <w:r w:rsidR="00834072" w:rsidRPr="00DF1530">
        <w:rPr>
          <w:lang w:val="ru-RU"/>
        </w:rPr>
        <w:t>в Российской Федерации</w:t>
      </w:r>
      <w:r w:rsidR="008C7A93" w:rsidRPr="00DF1530">
        <w:rPr>
          <w:lang w:val="ru-RU"/>
        </w:rPr>
        <w:t>, 2008-13</w:t>
      </w:r>
      <w:r w:rsidR="00DC5FB1" w:rsidRPr="00DF1530">
        <w:rPr>
          <w:lang w:val="ru-RU"/>
        </w:rPr>
        <w:t xml:space="preserve"> гг.</w:t>
      </w:r>
      <w:r w:rsidR="009030BD" w:rsidRPr="00DF1530">
        <w:rPr>
          <w:lang w:val="ru-RU"/>
        </w:rPr>
        <w:fldChar w:fldCharType="begin"/>
      </w:r>
      <w:r w:rsidR="008C7A93" w:rsidRPr="00DF1530">
        <w:rPr>
          <w:lang w:val="ru-RU"/>
        </w:rPr>
        <w:instrText xml:space="preserve"> TC \f t \l 2 "Table 1.4.</w:instrText>
      </w:r>
      <w:r w:rsidR="008C7A93" w:rsidRPr="00DF1530">
        <w:rPr>
          <w:lang w:val="ru-RU"/>
        </w:rPr>
        <w:tab/>
        <w:instrText xml:space="preserve">Bank lending to SMEs in the Russian Federation, 2008-13"  </w:instrText>
      </w:r>
      <w:r w:rsidR="009030BD" w:rsidRPr="00DF1530">
        <w:rPr>
          <w:lang w:val="ru-RU"/>
        </w:rPr>
        <w:fldChar w:fldCharType="end"/>
      </w:r>
    </w:p>
    <w:tbl>
      <w:tblPr>
        <w:tblW w:w="5053" w:type="pct"/>
        <w:tblLayout w:type="fixed"/>
        <w:tblLook w:val="00A0"/>
      </w:tblPr>
      <w:tblGrid>
        <w:gridCol w:w="1799"/>
        <w:gridCol w:w="1097"/>
        <w:gridCol w:w="1082"/>
        <w:gridCol w:w="1082"/>
        <w:gridCol w:w="1082"/>
        <w:gridCol w:w="1082"/>
        <w:gridCol w:w="1081"/>
        <w:gridCol w:w="1081"/>
      </w:tblGrid>
      <w:tr w:rsidR="008C7A93" w:rsidRPr="00B852B0" w:rsidTr="005E53F2">
        <w:trPr>
          <w:trHeight w:val="270"/>
        </w:trPr>
        <w:tc>
          <w:tcPr>
            <w:tcW w:w="958" w:type="pct"/>
            <w:tcBorders>
              <w:top w:val="single" w:sz="8" w:space="0" w:color="auto"/>
              <w:left w:val="nil"/>
              <w:bottom w:val="single" w:sz="8" w:space="0" w:color="auto"/>
              <w:right w:val="nil"/>
            </w:tcBorders>
            <w:shd w:val="clear" w:color="000000" w:fill="95B3D7"/>
            <w:noWrap/>
            <w:vAlign w:val="center"/>
          </w:tcPr>
          <w:p w:rsidR="008C7A93" w:rsidRPr="00B852B0" w:rsidRDefault="00F14910" w:rsidP="00DC5FB1">
            <w:pPr>
              <w:keepNext/>
              <w:keepLines/>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Показател</w:t>
            </w:r>
            <w:r w:rsidR="00DC5FB1" w:rsidRPr="00B852B0">
              <w:rPr>
                <w:rFonts w:ascii="Arial" w:hAnsi="Arial" w:cs="Arial"/>
                <w:b/>
                <w:bCs/>
                <w:color w:val="000000"/>
                <w:sz w:val="14"/>
                <w:szCs w:val="18"/>
                <w:lang w:val="ru-RU" w:eastAsia="en-GB"/>
              </w:rPr>
              <w:t>и</w:t>
            </w:r>
          </w:p>
        </w:tc>
        <w:tc>
          <w:tcPr>
            <w:tcW w:w="584" w:type="pct"/>
            <w:tcBorders>
              <w:top w:val="single" w:sz="8" w:space="0" w:color="auto"/>
              <w:left w:val="nil"/>
              <w:bottom w:val="single" w:sz="8" w:space="0" w:color="auto"/>
              <w:right w:val="nil"/>
            </w:tcBorders>
            <w:shd w:val="clear" w:color="000000" w:fill="95B3D7"/>
            <w:noWrap/>
            <w:vAlign w:val="center"/>
          </w:tcPr>
          <w:p w:rsidR="008C7A93" w:rsidRPr="00B852B0" w:rsidRDefault="00DC5FB1" w:rsidP="005E53F2">
            <w:pPr>
              <w:keepNext/>
              <w:keepLines/>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Единицы измерения</w:t>
            </w:r>
          </w:p>
        </w:tc>
        <w:tc>
          <w:tcPr>
            <w:tcW w:w="576" w:type="pct"/>
            <w:tcBorders>
              <w:top w:val="single" w:sz="8" w:space="0" w:color="auto"/>
              <w:left w:val="nil"/>
              <w:bottom w:val="single" w:sz="8" w:space="0" w:color="auto"/>
              <w:right w:val="nil"/>
            </w:tcBorders>
            <w:shd w:val="clear" w:color="000000" w:fill="95B3D7"/>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2008</w:t>
            </w:r>
            <w:r w:rsidR="00DC5FB1" w:rsidRPr="00B852B0">
              <w:rPr>
                <w:rFonts w:ascii="Arial" w:hAnsi="Arial" w:cs="Arial"/>
                <w:b/>
                <w:bCs/>
                <w:color w:val="000000"/>
                <w:sz w:val="14"/>
                <w:szCs w:val="18"/>
                <w:lang w:val="ru-RU" w:eastAsia="en-GB"/>
              </w:rPr>
              <w:t xml:space="preserve"> г.</w:t>
            </w:r>
          </w:p>
        </w:tc>
        <w:tc>
          <w:tcPr>
            <w:tcW w:w="576" w:type="pct"/>
            <w:tcBorders>
              <w:top w:val="single" w:sz="8" w:space="0" w:color="auto"/>
              <w:left w:val="nil"/>
              <w:bottom w:val="single" w:sz="8" w:space="0" w:color="auto"/>
              <w:right w:val="nil"/>
            </w:tcBorders>
            <w:shd w:val="clear" w:color="000000" w:fill="95B3D7"/>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2009</w:t>
            </w:r>
            <w:r w:rsidR="00DC5FB1" w:rsidRPr="00B852B0">
              <w:rPr>
                <w:rFonts w:ascii="Arial" w:hAnsi="Arial" w:cs="Arial"/>
                <w:b/>
                <w:bCs/>
                <w:color w:val="000000"/>
                <w:sz w:val="14"/>
                <w:szCs w:val="18"/>
                <w:lang w:val="ru-RU" w:eastAsia="en-GB"/>
              </w:rPr>
              <w:t xml:space="preserve"> г.</w:t>
            </w:r>
          </w:p>
        </w:tc>
        <w:tc>
          <w:tcPr>
            <w:tcW w:w="576" w:type="pct"/>
            <w:tcBorders>
              <w:top w:val="single" w:sz="8" w:space="0" w:color="auto"/>
              <w:left w:val="nil"/>
              <w:bottom w:val="single" w:sz="8" w:space="0" w:color="auto"/>
              <w:right w:val="nil"/>
            </w:tcBorders>
            <w:shd w:val="clear" w:color="000000" w:fill="95B3D7"/>
            <w:noWrap/>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2010</w:t>
            </w:r>
            <w:r w:rsidR="00DC5FB1" w:rsidRPr="00B852B0">
              <w:rPr>
                <w:rFonts w:ascii="Arial" w:hAnsi="Arial" w:cs="Arial"/>
                <w:b/>
                <w:bCs/>
                <w:color w:val="000000"/>
                <w:sz w:val="14"/>
                <w:szCs w:val="18"/>
                <w:lang w:val="ru-RU" w:eastAsia="en-GB"/>
              </w:rPr>
              <w:t xml:space="preserve"> г.</w:t>
            </w:r>
          </w:p>
        </w:tc>
        <w:tc>
          <w:tcPr>
            <w:tcW w:w="576" w:type="pct"/>
            <w:tcBorders>
              <w:top w:val="single" w:sz="8" w:space="0" w:color="auto"/>
              <w:left w:val="nil"/>
              <w:bottom w:val="single" w:sz="8" w:space="0" w:color="auto"/>
              <w:right w:val="nil"/>
            </w:tcBorders>
            <w:shd w:val="clear" w:color="000000" w:fill="95B3D7"/>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2011</w:t>
            </w:r>
            <w:r w:rsidR="00DC5FB1" w:rsidRPr="00B852B0">
              <w:rPr>
                <w:rFonts w:ascii="Arial" w:hAnsi="Arial" w:cs="Arial"/>
                <w:b/>
                <w:bCs/>
                <w:color w:val="000000"/>
                <w:sz w:val="14"/>
                <w:szCs w:val="18"/>
                <w:lang w:val="ru-RU" w:eastAsia="en-GB"/>
              </w:rPr>
              <w:t xml:space="preserve"> г.</w:t>
            </w:r>
          </w:p>
        </w:tc>
        <w:tc>
          <w:tcPr>
            <w:tcW w:w="576" w:type="pct"/>
            <w:tcBorders>
              <w:top w:val="single" w:sz="8" w:space="0" w:color="auto"/>
              <w:left w:val="nil"/>
              <w:bottom w:val="single" w:sz="8" w:space="0" w:color="auto"/>
              <w:right w:val="nil"/>
            </w:tcBorders>
            <w:shd w:val="clear" w:color="000000" w:fill="95B3D7"/>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2012</w:t>
            </w:r>
            <w:r w:rsidR="00DC5FB1" w:rsidRPr="00B852B0">
              <w:rPr>
                <w:rFonts w:ascii="Arial" w:hAnsi="Arial" w:cs="Arial"/>
                <w:b/>
                <w:bCs/>
                <w:color w:val="000000"/>
                <w:sz w:val="14"/>
                <w:szCs w:val="18"/>
                <w:lang w:val="ru-RU" w:eastAsia="en-GB"/>
              </w:rPr>
              <w:t xml:space="preserve"> г.</w:t>
            </w:r>
          </w:p>
        </w:tc>
        <w:tc>
          <w:tcPr>
            <w:tcW w:w="576" w:type="pct"/>
            <w:tcBorders>
              <w:top w:val="single" w:sz="8" w:space="0" w:color="auto"/>
              <w:left w:val="nil"/>
              <w:bottom w:val="single" w:sz="8" w:space="0" w:color="auto"/>
              <w:right w:val="nil"/>
            </w:tcBorders>
            <w:shd w:val="clear" w:color="000000" w:fill="95B3D7"/>
            <w:vAlign w:val="center"/>
          </w:tcPr>
          <w:p w:rsidR="008C7A93" w:rsidRPr="00B852B0" w:rsidRDefault="008C7A93" w:rsidP="005E53F2">
            <w:pPr>
              <w:keepNext/>
              <w:keepLines/>
              <w:jc w:val="center"/>
              <w:rPr>
                <w:rFonts w:ascii="Arial" w:hAnsi="Arial" w:cs="Arial"/>
                <w:b/>
                <w:bCs/>
                <w:color w:val="000000"/>
                <w:sz w:val="14"/>
                <w:szCs w:val="18"/>
                <w:lang w:val="ru-RU" w:eastAsia="en-GB"/>
              </w:rPr>
            </w:pPr>
            <w:r w:rsidRPr="00B852B0">
              <w:rPr>
                <w:rFonts w:ascii="Arial" w:hAnsi="Arial" w:cs="Arial"/>
                <w:b/>
                <w:bCs/>
                <w:color w:val="000000"/>
                <w:sz w:val="14"/>
                <w:szCs w:val="18"/>
                <w:lang w:val="ru-RU" w:eastAsia="en-GB"/>
              </w:rPr>
              <w:t>2013</w:t>
            </w:r>
            <w:r w:rsidR="00DC5FB1" w:rsidRPr="00B852B0">
              <w:rPr>
                <w:rFonts w:ascii="Arial" w:hAnsi="Arial" w:cs="Arial"/>
                <w:b/>
                <w:bCs/>
                <w:color w:val="000000"/>
                <w:sz w:val="14"/>
                <w:szCs w:val="18"/>
                <w:lang w:val="ru-RU" w:eastAsia="en-GB"/>
              </w:rPr>
              <w:t xml:space="preserve"> г.</w:t>
            </w:r>
          </w:p>
        </w:tc>
      </w:tr>
      <w:tr w:rsidR="008C7A93" w:rsidRPr="00B852B0" w:rsidTr="005E53F2">
        <w:trPr>
          <w:trHeight w:val="255"/>
        </w:trPr>
        <w:tc>
          <w:tcPr>
            <w:tcW w:w="958" w:type="pct"/>
            <w:tcBorders>
              <w:top w:val="nil"/>
              <w:left w:val="nil"/>
              <w:bottom w:val="nil"/>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Непогашенные кредиты для предприятий</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объем</w:t>
            </w:r>
            <w:r w:rsidR="008C7A93" w:rsidRPr="00B852B0">
              <w:rPr>
                <w:rFonts w:ascii="Arial" w:hAnsi="Arial" w:cs="Arial"/>
                <w:color w:val="000000"/>
                <w:sz w:val="14"/>
                <w:szCs w:val="18"/>
                <w:lang w:val="ru-RU" w:eastAsia="en-GB"/>
              </w:rPr>
              <w:t>)</w:t>
            </w:r>
          </w:p>
        </w:tc>
        <w:tc>
          <w:tcPr>
            <w:tcW w:w="584" w:type="pct"/>
            <w:tcBorders>
              <w:top w:val="nil"/>
              <w:left w:val="nil"/>
              <w:bottom w:val="nil"/>
              <w:right w:val="nil"/>
            </w:tcBorders>
            <w:noWrap/>
            <w:vAlign w:val="center"/>
          </w:tcPr>
          <w:p w:rsidR="008C7A93" w:rsidRPr="00B852B0" w:rsidRDefault="00DC5FB1" w:rsidP="00DC5FB1">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 xml:space="preserve">В </w:t>
            </w:r>
            <w:r w:rsidR="00834072" w:rsidRPr="00B852B0">
              <w:rPr>
                <w:rFonts w:ascii="Arial" w:hAnsi="Arial" w:cs="Arial"/>
                <w:color w:val="000000"/>
                <w:sz w:val="14"/>
                <w:szCs w:val="18"/>
                <w:lang w:val="ru-RU" w:eastAsia="en-GB"/>
              </w:rPr>
              <w:t>миллиона</w:t>
            </w:r>
            <w:r w:rsidRPr="00B852B0">
              <w:rPr>
                <w:rFonts w:ascii="Arial" w:hAnsi="Arial" w:cs="Arial"/>
                <w:color w:val="000000"/>
                <w:sz w:val="14"/>
                <w:szCs w:val="18"/>
                <w:lang w:val="ru-RU" w:eastAsia="en-GB"/>
              </w:rPr>
              <w:t>х рублей</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2 522 995</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2 647 973</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3 227 570</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3 843 458</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4 494 204</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5 160 644</w:t>
            </w:r>
          </w:p>
        </w:tc>
      </w:tr>
      <w:tr w:rsidR="008C7A93" w:rsidRPr="00B852B0" w:rsidTr="005E53F2">
        <w:trPr>
          <w:trHeight w:val="255"/>
        </w:trPr>
        <w:tc>
          <w:tcPr>
            <w:tcW w:w="958" w:type="pct"/>
            <w:tcBorders>
              <w:top w:val="nil"/>
              <w:left w:val="nil"/>
              <w:bottom w:val="nil"/>
              <w:right w:val="nil"/>
            </w:tcBorders>
            <w:shd w:val="clear" w:color="000000" w:fill="DBE5F1"/>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Непогашенные кредиты для предприятий</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итого</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объем</w:t>
            </w:r>
            <w:r w:rsidR="008C7A93" w:rsidRPr="00B852B0">
              <w:rPr>
                <w:rFonts w:ascii="Arial" w:hAnsi="Arial" w:cs="Arial"/>
                <w:color w:val="000000"/>
                <w:sz w:val="14"/>
                <w:szCs w:val="18"/>
                <w:lang w:val="ru-RU" w:eastAsia="en-GB"/>
              </w:rPr>
              <w:t>)</w:t>
            </w:r>
          </w:p>
        </w:tc>
        <w:tc>
          <w:tcPr>
            <w:tcW w:w="584" w:type="pct"/>
            <w:tcBorders>
              <w:top w:val="nil"/>
              <w:left w:val="nil"/>
              <w:bottom w:val="nil"/>
              <w:right w:val="nil"/>
            </w:tcBorders>
            <w:shd w:val="clear" w:color="000000" w:fill="DBE5F1"/>
            <w:noWrap/>
            <w:vAlign w:val="center"/>
          </w:tcPr>
          <w:p w:rsidR="008C7A93" w:rsidRPr="00B852B0" w:rsidRDefault="00DC5FB1"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В миллионах рублей</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12 996 829</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12 412 406</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13 596 593</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17 061 389</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19 580 176</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22 242 321</w:t>
            </w:r>
          </w:p>
        </w:tc>
      </w:tr>
      <w:tr w:rsidR="008C7A93" w:rsidRPr="00B852B0" w:rsidTr="005E53F2">
        <w:trPr>
          <w:trHeight w:val="255"/>
        </w:trPr>
        <w:tc>
          <w:tcPr>
            <w:tcW w:w="958" w:type="pct"/>
            <w:tcBorders>
              <w:top w:val="nil"/>
              <w:left w:val="nil"/>
              <w:bottom w:val="nil"/>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 xml:space="preserve">Доля кредитов для </w:t>
            </w:r>
            <w:r w:rsidR="00834072" w:rsidRPr="00B852B0">
              <w:rPr>
                <w:rFonts w:ascii="Arial" w:hAnsi="Arial" w:cs="Arial"/>
                <w:color w:val="000000"/>
                <w:sz w:val="14"/>
                <w:szCs w:val="18"/>
                <w:lang w:val="ru-RU" w:eastAsia="en-GB"/>
              </w:rPr>
              <w:t>МСП</w:t>
            </w:r>
            <w:r w:rsidR="008C7A93" w:rsidRPr="00B852B0">
              <w:rPr>
                <w:rFonts w:ascii="Arial" w:hAnsi="Arial" w:cs="Arial"/>
                <w:color w:val="000000"/>
                <w:sz w:val="14"/>
                <w:szCs w:val="18"/>
                <w:lang w:val="ru-RU" w:eastAsia="en-GB"/>
              </w:rPr>
              <w:t xml:space="preserve"> </w:t>
            </w:r>
          </w:p>
        </w:tc>
        <w:tc>
          <w:tcPr>
            <w:tcW w:w="584" w:type="pct"/>
            <w:tcBorders>
              <w:top w:val="nil"/>
              <w:left w:val="nil"/>
              <w:bottom w:val="nil"/>
              <w:right w:val="nil"/>
            </w:tcBorders>
            <w:noWrap/>
            <w:vAlign w:val="center"/>
          </w:tcPr>
          <w:p w:rsidR="008C7A93" w:rsidRPr="00B852B0" w:rsidRDefault="008C7A93"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19</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21</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24</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23</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23</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23</w:t>
            </w:r>
          </w:p>
        </w:tc>
      </w:tr>
      <w:tr w:rsidR="008C7A93" w:rsidRPr="00B852B0" w:rsidTr="005E53F2">
        <w:trPr>
          <w:trHeight w:val="255"/>
        </w:trPr>
        <w:tc>
          <w:tcPr>
            <w:tcW w:w="958" w:type="pct"/>
            <w:tcBorders>
              <w:top w:val="nil"/>
              <w:left w:val="nil"/>
              <w:bottom w:val="nil"/>
              <w:right w:val="nil"/>
            </w:tcBorders>
            <w:shd w:val="clear" w:color="000000" w:fill="DBE5F1"/>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Новые кредиты для предприятий</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потоки</w:t>
            </w:r>
            <w:r w:rsidR="008C7A93" w:rsidRPr="00B852B0">
              <w:rPr>
                <w:rFonts w:ascii="Arial" w:hAnsi="Arial" w:cs="Arial"/>
                <w:color w:val="000000"/>
                <w:sz w:val="14"/>
                <w:szCs w:val="18"/>
                <w:lang w:val="ru-RU" w:eastAsia="en-GB"/>
              </w:rPr>
              <w:t>)</w:t>
            </w:r>
          </w:p>
        </w:tc>
        <w:tc>
          <w:tcPr>
            <w:tcW w:w="584" w:type="pct"/>
            <w:tcBorders>
              <w:top w:val="nil"/>
              <w:left w:val="nil"/>
              <w:bottom w:val="nil"/>
              <w:right w:val="nil"/>
            </w:tcBorders>
            <w:shd w:val="clear" w:color="000000" w:fill="DBE5F1"/>
            <w:noWrap/>
            <w:vAlign w:val="center"/>
          </w:tcPr>
          <w:p w:rsidR="008C7A93" w:rsidRPr="00B852B0" w:rsidRDefault="00DC5FB1"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В миллионах рублей</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3 014 572</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4 704 715</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6 055 744</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6 942 525</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8 064 759</w:t>
            </w:r>
          </w:p>
        </w:tc>
      </w:tr>
      <w:tr w:rsidR="008C7A93" w:rsidRPr="00B852B0" w:rsidTr="005E53F2">
        <w:trPr>
          <w:trHeight w:val="255"/>
        </w:trPr>
        <w:tc>
          <w:tcPr>
            <w:tcW w:w="958" w:type="pct"/>
            <w:tcBorders>
              <w:top w:val="nil"/>
              <w:left w:val="nil"/>
              <w:bottom w:val="nil"/>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Новые кредиты для предприятий</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 xml:space="preserve">итого </w:t>
            </w:r>
            <w:r w:rsidR="008C7A93"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потоки</w:t>
            </w:r>
            <w:r w:rsidR="008C7A93" w:rsidRPr="00B852B0">
              <w:rPr>
                <w:rFonts w:ascii="Arial" w:hAnsi="Arial" w:cs="Arial"/>
                <w:color w:val="000000"/>
                <w:sz w:val="14"/>
                <w:szCs w:val="18"/>
                <w:lang w:val="ru-RU" w:eastAsia="en-GB"/>
              </w:rPr>
              <w:t>)</w:t>
            </w:r>
          </w:p>
        </w:tc>
        <w:tc>
          <w:tcPr>
            <w:tcW w:w="584" w:type="pct"/>
            <w:tcBorders>
              <w:top w:val="nil"/>
              <w:left w:val="nil"/>
              <w:bottom w:val="nil"/>
              <w:right w:val="nil"/>
            </w:tcBorders>
            <w:noWrap/>
            <w:vAlign w:val="center"/>
          </w:tcPr>
          <w:p w:rsidR="008C7A93" w:rsidRPr="00B852B0" w:rsidRDefault="00DC5FB1"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В миллионах рублей</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19 091 541</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20 662 219</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28 412 267</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30 255 044</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36 224 567</w:t>
            </w:r>
          </w:p>
        </w:tc>
      </w:tr>
      <w:tr w:rsidR="008C7A93" w:rsidRPr="00B852B0" w:rsidTr="005E53F2">
        <w:trPr>
          <w:trHeight w:val="255"/>
        </w:trPr>
        <w:tc>
          <w:tcPr>
            <w:tcW w:w="958" w:type="pct"/>
            <w:tcBorders>
              <w:top w:val="nil"/>
              <w:left w:val="nil"/>
              <w:bottom w:val="nil"/>
              <w:right w:val="nil"/>
            </w:tcBorders>
            <w:shd w:val="clear" w:color="000000" w:fill="DBE5F1"/>
            <w:noWrap/>
            <w:vAlign w:val="center"/>
          </w:tcPr>
          <w:p w:rsidR="008C7A93" w:rsidRPr="00B852B0" w:rsidRDefault="00CD71D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Правительств</w:t>
            </w:r>
            <w:r w:rsidR="00DC5FB1" w:rsidRPr="00B852B0">
              <w:rPr>
                <w:rFonts w:ascii="Arial" w:hAnsi="Arial" w:cs="Arial"/>
                <w:color w:val="000000"/>
                <w:sz w:val="14"/>
                <w:szCs w:val="18"/>
                <w:lang w:val="ru-RU" w:eastAsia="en-GB"/>
              </w:rPr>
              <w:t>енные</w:t>
            </w:r>
            <w:r w:rsidR="008C7A93" w:rsidRPr="00B852B0">
              <w:rPr>
                <w:rFonts w:ascii="Arial" w:hAnsi="Arial" w:cs="Arial"/>
                <w:color w:val="000000"/>
                <w:sz w:val="14"/>
                <w:szCs w:val="18"/>
                <w:lang w:val="ru-RU" w:eastAsia="en-GB"/>
              </w:rPr>
              <w:t xml:space="preserve"> </w:t>
            </w:r>
            <w:r w:rsidR="00DC5FB1" w:rsidRPr="00B852B0">
              <w:rPr>
                <w:rFonts w:ascii="Arial" w:hAnsi="Arial" w:cs="Arial"/>
                <w:color w:val="000000"/>
                <w:sz w:val="14"/>
                <w:szCs w:val="18"/>
                <w:lang w:val="ru-RU" w:eastAsia="en-GB"/>
              </w:rPr>
              <w:t>кредитные гарантии</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p>
        </w:tc>
        <w:tc>
          <w:tcPr>
            <w:tcW w:w="584" w:type="pct"/>
            <w:tcBorders>
              <w:top w:val="nil"/>
              <w:left w:val="nil"/>
              <w:bottom w:val="nil"/>
              <w:right w:val="nil"/>
            </w:tcBorders>
            <w:shd w:val="clear" w:color="000000" w:fill="DBE5F1"/>
            <w:noWrap/>
            <w:vAlign w:val="center"/>
          </w:tcPr>
          <w:p w:rsidR="008C7A93" w:rsidRPr="00B852B0" w:rsidRDefault="00DC5FB1"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В миллионах рублей</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18 226</w:t>
            </w:r>
          </w:p>
        </w:tc>
        <w:tc>
          <w:tcPr>
            <w:tcW w:w="576" w:type="pct"/>
            <w:tcBorders>
              <w:top w:val="nil"/>
              <w:left w:val="nil"/>
              <w:bottom w:val="nil"/>
              <w:right w:val="nil"/>
            </w:tcBorders>
            <w:shd w:val="clear" w:color="000000" w:fill="DBE5F1"/>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32 460</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58 954</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87 400</w:t>
            </w:r>
          </w:p>
        </w:tc>
        <w:tc>
          <w:tcPr>
            <w:tcW w:w="576" w:type="pct"/>
            <w:tcBorders>
              <w:top w:val="nil"/>
              <w:left w:val="nil"/>
              <w:bottom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116 900</w:t>
            </w:r>
          </w:p>
        </w:tc>
      </w:tr>
      <w:tr w:rsidR="008C7A93" w:rsidRPr="00B852B0" w:rsidTr="005E53F2">
        <w:trPr>
          <w:trHeight w:val="255"/>
        </w:trPr>
        <w:tc>
          <w:tcPr>
            <w:tcW w:w="958" w:type="pct"/>
            <w:tcBorders>
              <w:top w:val="nil"/>
              <w:left w:val="nil"/>
              <w:bottom w:val="nil"/>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Гарантированные правительством кредиты</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p>
        </w:tc>
        <w:tc>
          <w:tcPr>
            <w:tcW w:w="584" w:type="pct"/>
            <w:tcBorders>
              <w:top w:val="nil"/>
              <w:left w:val="nil"/>
              <w:bottom w:val="nil"/>
              <w:right w:val="nil"/>
            </w:tcBorders>
            <w:noWrap/>
            <w:vAlign w:val="center"/>
          </w:tcPr>
          <w:p w:rsidR="008C7A93" w:rsidRPr="00B852B0" w:rsidRDefault="00DC5FB1"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В миллионах рублей</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38 917</w:t>
            </w:r>
          </w:p>
        </w:tc>
        <w:tc>
          <w:tcPr>
            <w:tcW w:w="576" w:type="pct"/>
            <w:tcBorders>
              <w:top w:val="nil"/>
              <w:left w:val="nil"/>
              <w:bottom w:val="nil"/>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66 824</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122 747</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185 000</w:t>
            </w:r>
          </w:p>
        </w:tc>
        <w:tc>
          <w:tcPr>
            <w:tcW w:w="576" w:type="pct"/>
            <w:tcBorders>
              <w:top w:val="nil"/>
              <w:left w:val="nil"/>
              <w:bottom w:val="nil"/>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249 000</w:t>
            </w:r>
          </w:p>
        </w:tc>
      </w:tr>
      <w:tr w:rsidR="008C7A93" w:rsidRPr="00B852B0" w:rsidTr="005E53F2">
        <w:trPr>
          <w:trHeight w:val="255"/>
        </w:trPr>
        <w:tc>
          <w:tcPr>
            <w:tcW w:w="958" w:type="pct"/>
            <w:tcBorders>
              <w:top w:val="nil"/>
              <w:left w:val="nil"/>
              <w:bottom w:val="nil"/>
              <w:right w:val="nil"/>
            </w:tcBorders>
            <w:shd w:val="clear" w:color="000000" w:fill="DBE5F1"/>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Невозвратные кредиты</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p>
        </w:tc>
        <w:tc>
          <w:tcPr>
            <w:tcW w:w="584" w:type="pct"/>
            <w:tcBorders>
              <w:top w:val="nil"/>
              <w:left w:val="nil"/>
              <w:bottom w:val="nil"/>
              <w:right w:val="nil"/>
            </w:tcBorders>
            <w:shd w:val="clear" w:color="000000" w:fill="DBE5F1"/>
            <w:noWrap/>
            <w:vAlign w:val="center"/>
          </w:tcPr>
          <w:p w:rsidR="008C7A93" w:rsidRPr="00B852B0" w:rsidRDefault="008C7A93"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27</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7</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56</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8</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80</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8</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19</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8</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39</w:t>
            </w:r>
          </w:p>
        </w:tc>
        <w:tc>
          <w:tcPr>
            <w:tcW w:w="576" w:type="pct"/>
            <w:tcBorders>
              <w:top w:val="nil"/>
              <w:left w:val="nil"/>
              <w:bottom w:val="nil"/>
              <w:right w:val="nil"/>
            </w:tcBorders>
            <w:shd w:val="clear" w:color="000000" w:fill="DCE6F1"/>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7</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08</w:t>
            </w:r>
          </w:p>
        </w:tc>
      </w:tr>
      <w:tr w:rsidR="008C7A93" w:rsidRPr="00B852B0" w:rsidTr="00DC5FB1">
        <w:trPr>
          <w:trHeight w:val="422"/>
        </w:trPr>
        <w:tc>
          <w:tcPr>
            <w:tcW w:w="958" w:type="pct"/>
            <w:tcBorders>
              <w:top w:val="nil"/>
              <w:left w:val="nil"/>
              <w:bottom w:val="nil"/>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Невозвратные кредиты</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итого</w:t>
            </w:r>
          </w:p>
        </w:tc>
        <w:tc>
          <w:tcPr>
            <w:tcW w:w="584" w:type="pct"/>
            <w:tcBorders>
              <w:top w:val="nil"/>
              <w:left w:val="nil"/>
              <w:bottom w:val="nil"/>
              <w:right w:val="nil"/>
            </w:tcBorders>
            <w:noWrap/>
            <w:vAlign w:val="center"/>
          </w:tcPr>
          <w:p w:rsidR="008C7A93" w:rsidRPr="00B852B0" w:rsidRDefault="008C7A93"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5</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83</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5</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43</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74</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57</w:t>
            </w:r>
          </w:p>
        </w:tc>
        <w:tc>
          <w:tcPr>
            <w:tcW w:w="576" w:type="pct"/>
            <w:tcBorders>
              <w:top w:val="nil"/>
              <w:left w:val="nil"/>
              <w:bottom w:val="nil"/>
              <w:right w:val="nil"/>
            </w:tcBorders>
            <w:noWrap/>
            <w:vAlign w:val="bottom"/>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4</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31</w:t>
            </w:r>
          </w:p>
        </w:tc>
      </w:tr>
      <w:tr w:rsidR="008C7A93" w:rsidRPr="00B852B0" w:rsidTr="005E53F2">
        <w:trPr>
          <w:trHeight w:val="255"/>
        </w:trPr>
        <w:tc>
          <w:tcPr>
            <w:tcW w:w="958" w:type="pct"/>
            <w:tcBorders>
              <w:top w:val="nil"/>
              <w:left w:val="nil"/>
              <w:right w:val="nil"/>
            </w:tcBorders>
            <w:shd w:val="clear" w:color="000000" w:fill="DBE5F1"/>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Процентная ставка</w:t>
            </w:r>
            <w:r w:rsidR="008C7A93" w:rsidRPr="00B852B0">
              <w:rPr>
                <w:rFonts w:ascii="Arial" w:hAnsi="Arial" w:cs="Arial"/>
                <w:color w:val="000000"/>
                <w:sz w:val="14"/>
                <w:szCs w:val="18"/>
                <w:lang w:val="ru-RU" w:eastAsia="en-GB"/>
              </w:rPr>
              <w:t xml:space="preserve">, </w:t>
            </w:r>
            <w:r w:rsidR="00F736B7" w:rsidRPr="00B852B0">
              <w:rPr>
                <w:rFonts w:ascii="Arial" w:hAnsi="Arial" w:cs="Arial"/>
                <w:color w:val="000000"/>
                <w:sz w:val="14"/>
                <w:szCs w:val="18"/>
                <w:lang w:val="ru-RU" w:eastAsia="en-GB"/>
              </w:rPr>
              <w:t>МСП</w:t>
            </w:r>
          </w:p>
        </w:tc>
        <w:tc>
          <w:tcPr>
            <w:tcW w:w="584" w:type="pct"/>
            <w:tcBorders>
              <w:top w:val="nil"/>
              <w:left w:val="nil"/>
              <w:right w:val="nil"/>
            </w:tcBorders>
            <w:shd w:val="clear" w:color="000000" w:fill="DBE5F1"/>
            <w:noWrap/>
            <w:vAlign w:val="center"/>
          </w:tcPr>
          <w:p w:rsidR="008C7A93" w:rsidRPr="00B852B0" w:rsidRDefault="008C7A93"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noWrap/>
            <w:vAlign w:val="center"/>
          </w:tcPr>
          <w:p w:rsidR="008C7A93" w:rsidRPr="00B852B0" w:rsidRDefault="00DC5FB1"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noWrap/>
            <w:vAlign w:val="center"/>
          </w:tcPr>
          <w:p w:rsidR="008C7A93" w:rsidRPr="00B852B0" w:rsidRDefault="00DC5FB1"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noWrap/>
            <w:vAlign w:val="center"/>
          </w:tcPr>
          <w:p w:rsidR="008C7A93" w:rsidRPr="00B852B0" w:rsidRDefault="00DC5FB1"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vAlign w:val="center"/>
          </w:tcPr>
          <w:p w:rsidR="008C7A93" w:rsidRPr="00B852B0" w:rsidRDefault="00DC5FB1"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vAlign w:val="center"/>
          </w:tcPr>
          <w:p w:rsidR="008C7A93" w:rsidRPr="00B852B0" w:rsidRDefault="00DC5FB1"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right w:val="nil"/>
            </w:tcBorders>
            <w:shd w:val="clear" w:color="000000" w:fill="DBE5F1"/>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13</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10</w:t>
            </w:r>
          </w:p>
        </w:tc>
      </w:tr>
      <w:tr w:rsidR="008C7A93" w:rsidRPr="00B852B0" w:rsidTr="005E53F2">
        <w:trPr>
          <w:trHeight w:val="255"/>
        </w:trPr>
        <w:tc>
          <w:tcPr>
            <w:tcW w:w="958" w:type="pct"/>
            <w:tcBorders>
              <w:top w:val="nil"/>
              <w:left w:val="nil"/>
              <w:bottom w:val="single" w:sz="4" w:space="0" w:color="auto"/>
              <w:right w:val="nil"/>
            </w:tcBorders>
            <w:noWrap/>
            <w:vAlign w:val="center"/>
          </w:tcPr>
          <w:p w:rsidR="008C7A93" w:rsidRPr="00B852B0" w:rsidRDefault="00DC5FB1" w:rsidP="00D057F5">
            <w:pPr>
              <w:keepNext/>
              <w:keepLines/>
              <w:jc w:val="left"/>
              <w:rPr>
                <w:rFonts w:ascii="Arial" w:hAnsi="Arial" w:cs="Arial"/>
                <w:color w:val="000000"/>
                <w:sz w:val="14"/>
                <w:szCs w:val="18"/>
                <w:lang w:val="ru-RU" w:eastAsia="en-GB"/>
              </w:rPr>
            </w:pPr>
            <w:r w:rsidRPr="00B852B0">
              <w:rPr>
                <w:rFonts w:ascii="Arial" w:hAnsi="Arial" w:cs="Arial"/>
                <w:color w:val="000000"/>
                <w:sz w:val="14"/>
                <w:szCs w:val="18"/>
                <w:lang w:val="ru-RU" w:eastAsia="en-GB"/>
              </w:rPr>
              <w:t>Процентная ставка</w:t>
            </w:r>
            <w:r w:rsidR="008C7A93" w:rsidRPr="00B852B0">
              <w:rPr>
                <w:rFonts w:ascii="Arial" w:hAnsi="Arial" w:cs="Arial"/>
                <w:color w:val="000000"/>
                <w:sz w:val="14"/>
                <w:szCs w:val="18"/>
                <w:lang w:val="ru-RU" w:eastAsia="en-GB"/>
              </w:rPr>
              <w:t xml:space="preserve">, </w:t>
            </w:r>
            <w:r w:rsidRPr="00B852B0">
              <w:rPr>
                <w:rFonts w:ascii="Arial" w:hAnsi="Arial" w:cs="Arial"/>
                <w:color w:val="000000"/>
                <w:sz w:val="14"/>
                <w:szCs w:val="18"/>
                <w:lang w:val="ru-RU" w:eastAsia="en-GB"/>
              </w:rPr>
              <w:t xml:space="preserve">крупные </w:t>
            </w:r>
            <w:r w:rsidR="00F736B7" w:rsidRPr="00B852B0">
              <w:rPr>
                <w:rFonts w:ascii="Arial" w:hAnsi="Arial" w:cs="Arial"/>
                <w:color w:val="000000"/>
                <w:sz w:val="14"/>
                <w:szCs w:val="18"/>
                <w:lang w:val="ru-RU" w:eastAsia="en-GB"/>
              </w:rPr>
              <w:t>фирмы</w:t>
            </w:r>
          </w:p>
        </w:tc>
        <w:tc>
          <w:tcPr>
            <w:tcW w:w="584" w:type="pct"/>
            <w:tcBorders>
              <w:top w:val="nil"/>
              <w:left w:val="nil"/>
              <w:bottom w:val="single" w:sz="4" w:space="0" w:color="auto"/>
              <w:right w:val="nil"/>
            </w:tcBorders>
            <w:noWrap/>
            <w:vAlign w:val="center"/>
          </w:tcPr>
          <w:p w:rsidR="008C7A93" w:rsidRPr="00B852B0" w:rsidRDefault="008C7A93" w:rsidP="005E53F2">
            <w:pPr>
              <w:keepNext/>
              <w:keepLines/>
              <w:rPr>
                <w:rFonts w:ascii="Arial" w:hAnsi="Arial" w:cs="Arial"/>
                <w:color w:val="000000"/>
                <w:sz w:val="14"/>
                <w:szCs w:val="18"/>
                <w:lang w:val="ru-RU" w:eastAsia="en-GB"/>
              </w:rPr>
            </w:pPr>
            <w:r w:rsidRPr="00B852B0">
              <w:rPr>
                <w:rFonts w:ascii="Arial" w:hAnsi="Arial" w:cs="Arial"/>
                <w:color w:val="000000"/>
                <w:sz w:val="14"/>
                <w:szCs w:val="18"/>
                <w:lang w:val="ru-RU" w:eastAsia="en-GB"/>
              </w:rPr>
              <w:t>%</w:t>
            </w:r>
          </w:p>
        </w:tc>
        <w:tc>
          <w:tcPr>
            <w:tcW w:w="576" w:type="pct"/>
            <w:tcBorders>
              <w:top w:val="nil"/>
              <w:left w:val="nil"/>
              <w:bottom w:val="single" w:sz="4" w:space="0" w:color="auto"/>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14</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1</w:t>
            </w:r>
          </w:p>
        </w:tc>
        <w:tc>
          <w:tcPr>
            <w:tcW w:w="576" w:type="pct"/>
            <w:tcBorders>
              <w:top w:val="nil"/>
              <w:left w:val="nil"/>
              <w:bottom w:val="single" w:sz="4" w:space="0" w:color="auto"/>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13</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8</w:t>
            </w:r>
          </w:p>
        </w:tc>
        <w:tc>
          <w:tcPr>
            <w:tcW w:w="576" w:type="pct"/>
            <w:tcBorders>
              <w:top w:val="nil"/>
              <w:left w:val="nil"/>
              <w:bottom w:val="single" w:sz="4" w:space="0" w:color="auto"/>
              <w:right w:val="nil"/>
            </w:tcBorders>
            <w:noWrap/>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9</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8</w:t>
            </w:r>
          </w:p>
        </w:tc>
        <w:tc>
          <w:tcPr>
            <w:tcW w:w="576" w:type="pct"/>
            <w:tcBorders>
              <w:top w:val="nil"/>
              <w:left w:val="nil"/>
              <w:bottom w:val="single" w:sz="4" w:space="0" w:color="auto"/>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10</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6</w:t>
            </w:r>
          </w:p>
        </w:tc>
        <w:tc>
          <w:tcPr>
            <w:tcW w:w="576" w:type="pct"/>
            <w:tcBorders>
              <w:top w:val="nil"/>
              <w:left w:val="nil"/>
              <w:bottom w:val="single" w:sz="4" w:space="0" w:color="auto"/>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10</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6</w:t>
            </w:r>
          </w:p>
        </w:tc>
        <w:tc>
          <w:tcPr>
            <w:tcW w:w="576" w:type="pct"/>
            <w:tcBorders>
              <w:top w:val="nil"/>
              <w:left w:val="nil"/>
              <w:bottom w:val="single" w:sz="4" w:space="0" w:color="auto"/>
              <w:right w:val="nil"/>
            </w:tcBorders>
            <w:vAlign w:val="center"/>
          </w:tcPr>
          <w:p w:rsidR="008C7A93" w:rsidRPr="00B852B0" w:rsidRDefault="008C7A93" w:rsidP="005E53F2">
            <w:pPr>
              <w:keepNext/>
              <w:keepLines/>
              <w:jc w:val="center"/>
              <w:rPr>
                <w:rFonts w:ascii="Arial" w:hAnsi="Arial" w:cs="Arial"/>
                <w:color w:val="000000"/>
                <w:sz w:val="14"/>
                <w:szCs w:val="18"/>
                <w:lang w:val="ru-RU" w:eastAsia="en-GB"/>
              </w:rPr>
            </w:pPr>
            <w:r w:rsidRPr="00B852B0">
              <w:rPr>
                <w:rFonts w:ascii="Arial" w:hAnsi="Arial" w:cs="Arial"/>
                <w:color w:val="000000"/>
                <w:sz w:val="14"/>
                <w:szCs w:val="18"/>
                <w:lang w:val="ru-RU" w:eastAsia="en-GB"/>
              </w:rPr>
              <w:t>11</w:t>
            </w:r>
            <w:r w:rsidR="00DC5FB1" w:rsidRPr="00B852B0">
              <w:rPr>
                <w:rFonts w:ascii="Arial" w:hAnsi="Arial" w:cs="Arial"/>
                <w:color w:val="000000"/>
                <w:sz w:val="14"/>
                <w:szCs w:val="18"/>
                <w:lang w:val="ru-RU" w:eastAsia="en-GB"/>
              </w:rPr>
              <w:t>,</w:t>
            </w:r>
            <w:r w:rsidRPr="00B852B0">
              <w:rPr>
                <w:rFonts w:ascii="Arial" w:hAnsi="Arial" w:cs="Arial"/>
                <w:color w:val="000000"/>
                <w:sz w:val="14"/>
                <w:szCs w:val="18"/>
                <w:lang w:val="ru-RU" w:eastAsia="en-GB"/>
              </w:rPr>
              <w:t>1</w:t>
            </w:r>
          </w:p>
        </w:tc>
      </w:tr>
    </w:tbl>
    <w:p w:rsidR="008C7A93" w:rsidRPr="00BA51F1" w:rsidRDefault="00592D7B" w:rsidP="008C7A93">
      <w:pPr>
        <w:pStyle w:val="SourceDescription"/>
      </w:pPr>
      <w:r w:rsidRPr="00DF1530">
        <w:rPr>
          <w:lang w:val="ru-RU"/>
        </w:rPr>
        <w:t>Источник</w:t>
      </w:r>
      <w:r w:rsidRPr="00BA51F1">
        <w:t xml:space="preserve"> </w:t>
      </w:r>
      <w:r w:rsidRPr="00DF1530">
        <w:rPr>
          <w:lang w:val="ru-RU"/>
        </w:rPr>
        <w:t>информации</w:t>
      </w:r>
      <w:r w:rsidR="008C7A93" w:rsidRPr="00BA51F1">
        <w:t xml:space="preserve">: </w:t>
      </w:r>
      <w:r w:rsidR="005E53F2" w:rsidRPr="00DF1530">
        <w:rPr>
          <w:lang w:val="ru-RU"/>
        </w:rPr>
        <w:t>ОЭСР</w:t>
      </w:r>
      <w:r w:rsidR="008C7A93" w:rsidRPr="00BA51F1">
        <w:t xml:space="preserve"> (</w:t>
      </w:r>
      <w:r w:rsidR="00DC5FB1" w:rsidRPr="00DF1530">
        <w:rPr>
          <w:lang w:val="ru-RU"/>
        </w:rPr>
        <w:t>готовится</w:t>
      </w:r>
      <w:r w:rsidR="00DC5FB1" w:rsidRPr="00BA51F1">
        <w:t xml:space="preserve"> </w:t>
      </w:r>
      <w:r w:rsidR="00DC5FB1" w:rsidRPr="00DF1530">
        <w:rPr>
          <w:lang w:val="ru-RU"/>
        </w:rPr>
        <w:t>к</w:t>
      </w:r>
      <w:r w:rsidR="00DC5FB1" w:rsidRPr="00BA51F1">
        <w:t xml:space="preserve"> </w:t>
      </w:r>
      <w:r w:rsidR="00DC5FB1" w:rsidRPr="00DF1530">
        <w:rPr>
          <w:lang w:val="ru-RU"/>
        </w:rPr>
        <w:t>публикации</w:t>
      </w:r>
      <w:r w:rsidR="008C7A93" w:rsidRPr="00BA51F1">
        <w:t xml:space="preserve">, 2015) </w:t>
      </w:r>
      <w:r w:rsidR="00DC5FB1" w:rsidRPr="00BA51F1">
        <w:t>Financing SMEs and Entrepreneurs 2015: an OECD Scoreboard</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75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761B0E" w:rsidRPr="00DF1530">
        <w:rPr>
          <w:lang w:val="ru-RU"/>
        </w:rPr>
        <w:t xml:space="preserve">Наряду </w:t>
      </w:r>
      <w:r w:rsidR="001A23D0" w:rsidRPr="00DF1530">
        <w:rPr>
          <w:lang w:val="ru-RU"/>
        </w:rPr>
        <w:t>с</w:t>
      </w:r>
      <w:r w:rsidR="008C7A93" w:rsidRPr="00DF1530">
        <w:rPr>
          <w:lang w:val="ru-RU"/>
        </w:rPr>
        <w:t xml:space="preserve"> </w:t>
      </w:r>
      <w:r w:rsidR="00761B0E" w:rsidRPr="00DF1530">
        <w:rPr>
          <w:lang w:val="ru-RU"/>
        </w:rPr>
        <w:t>предоставлением финансирования банкам-партн</w:t>
      </w:r>
      <w:r w:rsidR="00BD465D" w:rsidRPr="00DF1530">
        <w:rPr>
          <w:lang w:val="ru-RU"/>
        </w:rPr>
        <w:t>е</w:t>
      </w:r>
      <w:r w:rsidR="00761B0E" w:rsidRPr="00DF1530">
        <w:rPr>
          <w:lang w:val="ru-RU"/>
        </w:rPr>
        <w:t xml:space="preserve">рам для кредитования </w:t>
      </w:r>
      <w:r w:rsidR="00834072" w:rsidRPr="00DF1530">
        <w:rPr>
          <w:lang w:val="ru-RU"/>
        </w:rPr>
        <w:t>МСП</w:t>
      </w:r>
      <w:r w:rsidR="008C7A93" w:rsidRPr="00DF1530">
        <w:rPr>
          <w:lang w:val="ru-RU"/>
        </w:rPr>
        <w:t xml:space="preserve"> </w:t>
      </w:r>
      <w:r w:rsidR="00761B0E" w:rsidRPr="00DF1530">
        <w:rPr>
          <w:lang w:val="ru-RU"/>
        </w:rPr>
        <w:t>от государственного Внешэкономбанка</w:t>
      </w:r>
      <w:r w:rsidR="008C7A93" w:rsidRPr="00DF1530">
        <w:rPr>
          <w:lang w:val="ru-RU"/>
        </w:rPr>
        <w:t xml:space="preserve">, </w:t>
      </w:r>
      <w:r w:rsidR="00761B0E" w:rsidRPr="00DF1530">
        <w:rPr>
          <w:lang w:val="ru-RU"/>
        </w:rPr>
        <w:t xml:space="preserve">этот рост был обусловлен быстрым увеличением объема </w:t>
      </w:r>
      <w:r w:rsidR="00CD71D1" w:rsidRPr="00DF1530">
        <w:rPr>
          <w:lang w:val="ru-RU"/>
        </w:rPr>
        <w:t>правительств</w:t>
      </w:r>
      <w:r w:rsidR="00761B0E" w:rsidRPr="00DF1530">
        <w:rPr>
          <w:lang w:val="ru-RU"/>
        </w:rPr>
        <w:t>енных</w:t>
      </w:r>
      <w:r w:rsidR="008C7A93" w:rsidRPr="00DF1530">
        <w:rPr>
          <w:lang w:val="ru-RU"/>
        </w:rPr>
        <w:t xml:space="preserve"> </w:t>
      </w:r>
      <w:r w:rsidR="00761B0E" w:rsidRPr="00DF1530">
        <w:rPr>
          <w:lang w:val="ru-RU"/>
        </w:rPr>
        <w:t xml:space="preserve">кредитных гарантий для </w:t>
      </w:r>
      <w:r w:rsidR="00834072" w:rsidRPr="00DF1530">
        <w:rPr>
          <w:lang w:val="ru-RU"/>
        </w:rPr>
        <w:t>МСП</w:t>
      </w:r>
      <w:r w:rsidR="008C7A93" w:rsidRPr="00DF1530">
        <w:rPr>
          <w:lang w:val="ru-RU"/>
        </w:rPr>
        <w:t xml:space="preserve">. </w:t>
      </w:r>
      <w:r w:rsidR="00761B0E" w:rsidRPr="00DF1530">
        <w:rPr>
          <w:lang w:val="ru-RU"/>
        </w:rPr>
        <w:t xml:space="preserve">Как показано в </w:t>
      </w:r>
      <w:r w:rsidR="00CB734F" w:rsidRPr="00DF1530">
        <w:rPr>
          <w:lang w:val="ru-RU"/>
        </w:rPr>
        <w:t>Таблиц</w:t>
      </w:r>
      <w:r w:rsidR="00761B0E" w:rsidRPr="00DF1530">
        <w:rPr>
          <w:lang w:val="ru-RU"/>
        </w:rPr>
        <w:t>е</w:t>
      </w:r>
      <w:r w:rsidR="008C7A93" w:rsidRPr="00DF1530">
        <w:rPr>
          <w:lang w:val="ru-RU"/>
        </w:rPr>
        <w:t xml:space="preserve"> 1.2, </w:t>
      </w:r>
      <w:r w:rsidR="00761B0E" w:rsidRPr="00DF1530">
        <w:rPr>
          <w:lang w:val="ru-RU"/>
        </w:rPr>
        <w:t xml:space="preserve">сумма кредитов для </w:t>
      </w:r>
      <w:r w:rsidR="00F736B7" w:rsidRPr="00DF1530">
        <w:rPr>
          <w:lang w:val="ru-RU"/>
        </w:rPr>
        <w:t>МСП</w:t>
      </w:r>
      <w:r w:rsidR="008C7A93" w:rsidRPr="00DF1530">
        <w:rPr>
          <w:lang w:val="ru-RU"/>
        </w:rPr>
        <w:t xml:space="preserve"> </w:t>
      </w:r>
      <w:r w:rsidR="00761B0E" w:rsidRPr="00DF1530">
        <w:rPr>
          <w:lang w:val="ru-RU"/>
        </w:rPr>
        <w:t xml:space="preserve">с </w:t>
      </w:r>
      <w:r w:rsidR="00CD71D1" w:rsidRPr="00DF1530">
        <w:rPr>
          <w:lang w:val="ru-RU"/>
        </w:rPr>
        <w:t>правительств</w:t>
      </w:r>
      <w:r w:rsidR="00761B0E" w:rsidRPr="00DF1530">
        <w:rPr>
          <w:lang w:val="ru-RU"/>
        </w:rPr>
        <w:t>енными кредитными гарантиями</w:t>
      </w:r>
      <w:r w:rsidR="008C7A93" w:rsidRPr="00DF1530">
        <w:rPr>
          <w:lang w:val="ru-RU"/>
        </w:rPr>
        <w:t xml:space="preserve"> </w:t>
      </w:r>
      <w:r w:rsidR="00761B0E" w:rsidRPr="00DF1530">
        <w:rPr>
          <w:lang w:val="ru-RU"/>
        </w:rPr>
        <w:t xml:space="preserve">увеличилась с </w:t>
      </w:r>
      <w:r w:rsidR="008C7A93" w:rsidRPr="00DF1530">
        <w:rPr>
          <w:lang w:val="ru-RU"/>
        </w:rPr>
        <w:t xml:space="preserve">67 </w:t>
      </w:r>
      <w:r w:rsidR="009E3AC4" w:rsidRPr="00DF1530">
        <w:rPr>
          <w:lang w:val="ru-RU"/>
        </w:rPr>
        <w:t>миллиард</w:t>
      </w:r>
      <w:r w:rsidR="00761B0E" w:rsidRPr="00DF1530">
        <w:rPr>
          <w:lang w:val="ru-RU"/>
        </w:rPr>
        <w:t>ов рублей</w:t>
      </w:r>
      <w:r w:rsidR="008C7A93" w:rsidRPr="00DF1530">
        <w:rPr>
          <w:lang w:val="ru-RU"/>
        </w:rPr>
        <w:t xml:space="preserve"> </w:t>
      </w:r>
      <w:r w:rsidR="00761B0E" w:rsidRPr="00DF1530">
        <w:rPr>
          <w:lang w:val="ru-RU"/>
        </w:rPr>
        <w:t>в</w:t>
      </w:r>
      <w:r w:rsidR="008C7A93" w:rsidRPr="00DF1530">
        <w:rPr>
          <w:lang w:val="ru-RU"/>
        </w:rPr>
        <w:t xml:space="preserve"> 2010 </w:t>
      </w:r>
      <w:r w:rsidR="00761B0E" w:rsidRPr="00DF1530">
        <w:rPr>
          <w:lang w:val="ru-RU"/>
        </w:rPr>
        <w:t xml:space="preserve">году до </w:t>
      </w:r>
      <w:r w:rsidR="008C7A93" w:rsidRPr="00DF1530">
        <w:rPr>
          <w:lang w:val="ru-RU"/>
        </w:rPr>
        <w:t xml:space="preserve">250 </w:t>
      </w:r>
      <w:r w:rsidR="009E3AC4" w:rsidRPr="00DF1530">
        <w:rPr>
          <w:lang w:val="ru-RU"/>
        </w:rPr>
        <w:t>миллиард</w:t>
      </w:r>
      <w:r w:rsidR="00761B0E" w:rsidRPr="00DF1530">
        <w:rPr>
          <w:lang w:val="ru-RU"/>
        </w:rPr>
        <w:t>ов рублей</w:t>
      </w:r>
      <w:r w:rsidR="008C7A93" w:rsidRPr="00DF1530">
        <w:rPr>
          <w:lang w:val="ru-RU"/>
        </w:rPr>
        <w:t xml:space="preserve"> </w:t>
      </w:r>
      <w:r w:rsidR="00701FAE" w:rsidRPr="00DF1530">
        <w:rPr>
          <w:lang w:val="ru-RU"/>
        </w:rPr>
        <w:t>в 2013 году</w:t>
      </w:r>
      <w:r w:rsidR="008C7A93" w:rsidRPr="00DF1530">
        <w:rPr>
          <w:lang w:val="ru-RU"/>
        </w:rPr>
        <w:t xml:space="preserve">. </w:t>
      </w:r>
      <w:r w:rsidR="00761B0E" w:rsidRPr="00DF1530">
        <w:rPr>
          <w:lang w:val="ru-RU"/>
        </w:rPr>
        <w:t xml:space="preserve">Важным первым шагом в развитии рынка кредитных гарантий было создание в </w:t>
      </w:r>
      <w:r w:rsidR="008C7A93" w:rsidRPr="00DF1530">
        <w:rPr>
          <w:lang w:val="ru-RU"/>
        </w:rPr>
        <w:t xml:space="preserve">2006 </w:t>
      </w:r>
      <w:r w:rsidR="00761B0E" w:rsidRPr="00DF1530">
        <w:rPr>
          <w:lang w:val="ru-RU"/>
        </w:rPr>
        <w:t xml:space="preserve">году </w:t>
      </w:r>
      <w:r w:rsidR="008C7A93" w:rsidRPr="00DF1530">
        <w:rPr>
          <w:lang w:val="ru-RU"/>
        </w:rPr>
        <w:t xml:space="preserve">84 </w:t>
      </w:r>
      <w:r w:rsidR="00761B0E" w:rsidRPr="00DF1530">
        <w:rPr>
          <w:lang w:val="ru-RU"/>
        </w:rPr>
        <w:t xml:space="preserve">региональных фондов кредитных гарантий </w:t>
      </w:r>
      <w:r w:rsidR="00EB1372" w:rsidRPr="00DF1530">
        <w:rPr>
          <w:lang w:val="ru-RU"/>
        </w:rPr>
        <w:t>федеральны</w:t>
      </w:r>
      <w:r w:rsidR="00761B0E" w:rsidRPr="00DF1530">
        <w:rPr>
          <w:lang w:val="ru-RU"/>
        </w:rPr>
        <w:t>м</w:t>
      </w:r>
      <w:r w:rsidR="008C7A93" w:rsidRPr="00DF1530">
        <w:rPr>
          <w:lang w:val="ru-RU"/>
        </w:rPr>
        <w:t xml:space="preserve"> </w:t>
      </w:r>
      <w:r w:rsidR="00CD71D1" w:rsidRPr="00DF1530">
        <w:rPr>
          <w:lang w:val="ru-RU"/>
        </w:rPr>
        <w:t>правительство</w:t>
      </w:r>
      <w:r w:rsidR="00761B0E" w:rsidRPr="00DF1530">
        <w:rPr>
          <w:lang w:val="ru-RU"/>
        </w:rPr>
        <w:t>м</w:t>
      </w:r>
      <w:r w:rsidR="008C7A93" w:rsidRPr="00DF1530">
        <w:rPr>
          <w:lang w:val="ru-RU"/>
        </w:rPr>
        <w:t xml:space="preserve"> </w:t>
      </w:r>
      <w:r w:rsidR="00761B0E" w:rsidRPr="00DF1530">
        <w:rPr>
          <w:lang w:val="ru-RU"/>
        </w:rPr>
        <w:t>с участием региональных и муниципальных органов</w:t>
      </w:r>
      <w:r w:rsidR="008C7A93" w:rsidRPr="00DF1530">
        <w:rPr>
          <w:lang w:val="ru-RU"/>
        </w:rPr>
        <w:t xml:space="preserve">. </w:t>
      </w:r>
      <w:r w:rsidR="00761B0E" w:rsidRPr="00DF1530">
        <w:rPr>
          <w:lang w:val="ru-RU"/>
        </w:rPr>
        <w:t xml:space="preserve">Суммарные ресурсы этого фонда достигли в 2013 году </w:t>
      </w:r>
      <w:r w:rsidR="008C7A93" w:rsidRPr="00DF1530">
        <w:rPr>
          <w:lang w:val="ru-RU"/>
        </w:rPr>
        <w:t xml:space="preserve">33 </w:t>
      </w:r>
      <w:r w:rsidR="009E3AC4" w:rsidRPr="00DF1530">
        <w:rPr>
          <w:lang w:val="ru-RU"/>
        </w:rPr>
        <w:t>миллиард</w:t>
      </w:r>
      <w:r w:rsidR="00761B0E" w:rsidRPr="00DF1530">
        <w:rPr>
          <w:lang w:val="ru-RU"/>
        </w:rPr>
        <w:t>ов рублей,</w:t>
      </w:r>
      <w:r w:rsidR="008C7A93" w:rsidRPr="00DF1530">
        <w:rPr>
          <w:lang w:val="ru-RU"/>
        </w:rPr>
        <w:t xml:space="preserve"> </w:t>
      </w:r>
      <w:r w:rsidR="00761B0E" w:rsidRPr="00DF1530">
        <w:rPr>
          <w:lang w:val="ru-RU"/>
        </w:rPr>
        <w:t xml:space="preserve">было предоставлено примерно </w:t>
      </w:r>
      <w:r w:rsidR="008C7A93" w:rsidRPr="00DF1530">
        <w:rPr>
          <w:lang w:val="ru-RU"/>
        </w:rPr>
        <w:t xml:space="preserve">33 000 </w:t>
      </w:r>
      <w:r w:rsidR="00761B0E" w:rsidRPr="00DF1530">
        <w:rPr>
          <w:lang w:val="ru-RU"/>
        </w:rPr>
        <w:t xml:space="preserve">кредитных гарантий на сумму </w:t>
      </w:r>
      <w:r w:rsidR="008C7A93" w:rsidRPr="00DF1530">
        <w:rPr>
          <w:lang w:val="ru-RU"/>
        </w:rPr>
        <w:t xml:space="preserve">117 </w:t>
      </w:r>
      <w:r w:rsidR="00761B0E" w:rsidRPr="00DF1530">
        <w:rPr>
          <w:lang w:val="ru-RU"/>
        </w:rPr>
        <w:t>миллиардов рублей</w:t>
      </w:r>
      <w:r w:rsidR="008C7A93" w:rsidRPr="00DF1530">
        <w:rPr>
          <w:lang w:val="ru-RU"/>
        </w:rPr>
        <w:t xml:space="preserve">. </w:t>
      </w:r>
      <w:r w:rsidR="00795AE6" w:rsidRPr="00DF1530">
        <w:rPr>
          <w:lang w:val="ru-RU"/>
        </w:rPr>
        <w:t>Кроме того,</w:t>
      </w:r>
      <w:r w:rsidR="008C7A93" w:rsidRPr="00DF1530">
        <w:rPr>
          <w:lang w:val="ru-RU"/>
        </w:rPr>
        <w:t xml:space="preserve"> </w:t>
      </w:r>
      <w:r w:rsidR="00761B0E" w:rsidRPr="00DF1530">
        <w:rPr>
          <w:lang w:val="ru-RU"/>
        </w:rPr>
        <w:t xml:space="preserve">в 2014 году было создано </w:t>
      </w:r>
      <w:r w:rsidR="00EB1372" w:rsidRPr="00DF1530">
        <w:rPr>
          <w:lang w:val="ru-RU"/>
        </w:rPr>
        <w:t>Федеральн</w:t>
      </w:r>
      <w:r w:rsidR="00761B0E" w:rsidRPr="00DF1530">
        <w:rPr>
          <w:lang w:val="ru-RU"/>
        </w:rPr>
        <w:t xml:space="preserve">ое агентство кредитных гарантий, действующее на </w:t>
      </w:r>
      <w:r w:rsidR="0010795B" w:rsidRPr="00DF1530">
        <w:rPr>
          <w:lang w:val="ru-RU"/>
        </w:rPr>
        <w:t>национальн</w:t>
      </w:r>
      <w:r w:rsidR="00761B0E" w:rsidRPr="00DF1530">
        <w:rPr>
          <w:lang w:val="ru-RU"/>
        </w:rPr>
        <w:t xml:space="preserve">ом уровне, с зарегистрированным капиталом около </w:t>
      </w:r>
      <w:r w:rsidR="008C7A93" w:rsidRPr="00DF1530">
        <w:rPr>
          <w:lang w:val="ru-RU"/>
        </w:rPr>
        <w:t xml:space="preserve">37 </w:t>
      </w:r>
      <w:r w:rsidR="00761B0E" w:rsidRPr="00DF1530">
        <w:rPr>
          <w:lang w:val="ru-RU"/>
        </w:rPr>
        <w:t>миллиардов рублей</w:t>
      </w:r>
      <w:r w:rsidR="008C7A93" w:rsidRPr="00DF1530">
        <w:rPr>
          <w:lang w:val="ru-RU"/>
        </w:rPr>
        <w:t xml:space="preserve">. </w:t>
      </w:r>
      <w:r w:rsidR="00761B0E" w:rsidRPr="00DF1530">
        <w:rPr>
          <w:lang w:val="ru-RU"/>
        </w:rPr>
        <w:t xml:space="preserve">К 2016 году оно должно предоставить кредитные гарантии на сумму </w:t>
      </w:r>
      <w:r w:rsidR="008C7A93" w:rsidRPr="00DF1530">
        <w:rPr>
          <w:lang w:val="ru-RU"/>
        </w:rPr>
        <w:t xml:space="preserve">170 </w:t>
      </w:r>
      <w:r w:rsidR="00761B0E" w:rsidRPr="00DF1530">
        <w:rPr>
          <w:lang w:val="ru-RU"/>
        </w:rPr>
        <w:t>миллиардов рублей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76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AE5558" w:rsidRPr="00DF1530">
        <w:rPr>
          <w:lang w:val="ru-RU"/>
        </w:rPr>
        <w:t>Т</w:t>
      </w:r>
      <w:r w:rsidR="001D3F4C" w:rsidRPr="00DF1530">
        <w:rPr>
          <w:lang w:val="ru-RU"/>
        </w:rPr>
        <w:t>ем не менее</w:t>
      </w:r>
      <w:r w:rsidR="00AE5558" w:rsidRPr="00DF1530">
        <w:rPr>
          <w:lang w:val="ru-RU"/>
        </w:rPr>
        <w:t>,</w:t>
      </w:r>
      <w:r w:rsidR="008C7A93" w:rsidRPr="00DF1530">
        <w:rPr>
          <w:lang w:val="ru-RU"/>
        </w:rPr>
        <w:t xml:space="preserve"> </w:t>
      </w:r>
      <w:r w:rsidR="00AE5558" w:rsidRPr="00DF1530">
        <w:rPr>
          <w:lang w:val="ru-RU"/>
        </w:rPr>
        <w:t xml:space="preserve">необходимо увеличить объем кредитных гарантий для увеличения объема банковского кредитования </w:t>
      </w:r>
      <w:r w:rsidR="00F736B7" w:rsidRPr="00DF1530">
        <w:rPr>
          <w:lang w:val="ru-RU"/>
        </w:rPr>
        <w:t>МСП</w:t>
      </w:r>
      <w:r w:rsidR="008C7A93" w:rsidRPr="00DF1530">
        <w:rPr>
          <w:lang w:val="ru-RU"/>
        </w:rPr>
        <w:t xml:space="preserve"> </w:t>
      </w:r>
      <w:r w:rsidR="00AE5558" w:rsidRPr="00DF1530">
        <w:rPr>
          <w:lang w:val="ru-RU"/>
        </w:rPr>
        <w:t xml:space="preserve">путем увеличения удельного веса государственного финансирования </w:t>
      </w:r>
      <w:r w:rsidR="00834072" w:rsidRPr="00DF1530">
        <w:rPr>
          <w:lang w:val="ru-RU"/>
        </w:rPr>
        <w:t>МСП</w:t>
      </w:r>
      <w:r w:rsidR="00AE5558" w:rsidRPr="00DF1530">
        <w:rPr>
          <w:lang w:val="ru-RU"/>
        </w:rPr>
        <w:t>,</w:t>
      </w:r>
      <w:r w:rsidR="008C7A93" w:rsidRPr="00DF1530">
        <w:rPr>
          <w:lang w:val="ru-RU"/>
        </w:rPr>
        <w:t xml:space="preserve"> </w:t>
      </w:r>
      <w:r w:rsidR="00AE5558" w:rsidRPr="00DF1530">
        <w:rPr>
          <w:lang w:val="ru-RU"/>
        </w:rPr>
        <w:t xml:space="preserve">от </w:t>
      </w:r>
      <w:r w:rsidR="008353AD" w:rsidRPr="00DF1530">
        <w:rPr>
          <w:lang w:val="ru-RU"/>
        </w:rPr>
        <w:t>грант</w:t>
      </w:r>
      <w:r w:rsidR="00AE5558" w:rsidRPr="00DF1530">
        <w:rPr>
          <w:lang w:val="ru-RU"/>
        </w:rPr>
        <w:t>ов и прямых кредитов до кредитных гарантий</w:t>
      </w:r>
      <w:r w:rsidR="008C7A93" w:rsidRPr="00DF1530">
        <w:rPr>
          <w:lang w:val="ru-RU"/>
        </w:rPr>
        <w:t xml:space="preserve">. </w:t>
      </w:r>
      <w:r w:rsidR="003F13A5" w:rsidRPr="00DF1530">
        <w:rPr>
          <w:lang w:val="ru-RU"/>
        </w:rPr>
        <w:t>Кроме того</w:t>
      </w:r>
      <w:r w:rsidR="008C7A93" w:rsidRPr="00DF1530">
        <w:rPr>
          <w:lang w:val="ru-RU"/>
        </w:rPr>
        <w:t xml:space="preserve">, </w:t>
      </w:r>
      <w:r w:rsidR="00AE5558" w:rsidRPr="00DF1530">
        <w:rPr>
          <w:lang w:val="ru-RU"/>
        </w:rPr>
        <w:t>некоторые небольшие региональные фонды кредитных гарантий в настоящее время сталкиваются с трудностями по причине ограниченной экономии за сч</w:t>
      </w:r>
      <w:r w:rsidR="00BD465D" w:rsidRPr="00DF1530">
        <w:rPr>
          <w:lang w:val="ru-RU"/>
        </w:rPr>
        <w:t>е</w:t>
      </w:r>
      <w:r w:rsidR="00AE5558" w:rsidRPr="00DF1530">
        <w:rPr>
          <w:lang w:val="ru-RU"/>
        </w:rPr>
        <w:t>т масштабов и низкой эффективности, что означает потребность в консолидации</w:t>
      </w:r>
      <w:r w:rsidR="008C7A93" w:rsidRPr="00DF1530">
        <w:rPr>
          <w:lang w:val="ru-RU"/>
        </w:rPr>
        <w:t xml:space="preserve">. </w:t>
      </w:r>
      <w:r w:rsidR="00AE5558" w:rsidRPr="00DF1530">
        <w:rPr>
          <w:lang w:val="ru-RU"/>
        </w:rPr>
        <w:t>Чтобы добиться успеха</w:t>
      </w:r>
      <w:r w:rsidR="008C7A93" w:rsidRPr="00DF1530">
        <w:rPr>
          <w:lang w:val="ru-RU"/>
        </w:rPr>
        <w:t xml:space="preserve">, </w:t>
      </w:r>
      <w:r w:rsidR="00AE5558" w:rsidRPr="00DF1530">
        <w:rPr>
          <w:lang w:val="ru-RU"/>
        </w:rPr>
        <w:t xml:space="preserve">новое </w:t>
      </w:r>
      <w:r w:rsidR="00EB1372" w:rsidRPr="00DF1530">
        <w:rPr>
          <w:lang w:val="ru-RU"/>
        </w:rPr>
        <w:t>федеральн</w:t>
      </w:r>
      <w:r w:rsidR="00AE5558" w:rsidRPr="00DF1530">
        <w:rPr>
          <w:lang w:val="ru-RU"/>
        </w:rPr>
        <w:t xml:space="preserve">ое Агентство кредитных гарантий должно </w:t>
      </w:r>
      <w:r w:rsidR="00592D7B" w:rsidRPr="00DF1530">
        <w:rPr>
          <w:lang w:val="ru-RU"/>
        </w:rPr>
        <w:t>также</w:t>
      </w:r>
      <w:r w:rsidR="008C7A93" w:rsidRPr="00DF1530">
        <w:rPr>
          <w:lang w:val="ru-RU"/>
        </w:rPr>
        <w:t xml:space="preserve"> </w:t>
      </w:r>
      <w:r w:rsidR="00AE5558" w:rsidRPr="00DF1530">
        <w:rPr>
          <w:lang w:val="ru-RU"/>
        </w:rPr>
        <w:t xml:space="preserve">использовать эффективные технологии проверки потенциальных </w:t>
      </w:r>
      <w:r w:rsidR="00F736B7" w:rsidRPr="00DF1530">
        <w:rPr>
          <w:lang w:val="ru-RU"/>
        </w:rPr>
        <w:t>фирм</w:t>
      </w:r>
      <w:r w:rsidR="00AE5558" w:rsidRPr="00DF1530">
        <w:rPr>
          <w:lang w:val="ru-RU"/>
        </w:rPr>
        <w:t>-заемщиков, чтобы обеспечить взаимодополняемость государственного участия.</w:t>
      </w:r>
    </w:p>
    <w:p w:rsidR="008C7A93" w:rsidRPr="00DF1530" w:rsidRDefault="00666982" w:rsidP="008C7A93">
      <w:pPr>
        <w:pStyle w:val="31"/>
        <w:rPr>
          <w:lang w:val="ru-RU"/>
        </w:rPr>
      </w:pPr>
      <w:r w:rsidRPr="00DF1530">
        <w:rPr>
          <w:lang w:val="ru-RU"/>
        </w:rPr>
        <w:lastRenderedPageBreak/>
        <w:t xml:space="preserve">Широкая сеть микрофинансирования для удовлетворения </w:t>
      </w:r>
      <w:r w:rsidR="00396D9D" w:rsidRPr="00DF1530">
        <w:rPr>
          <w:lang w:val="ru-RU"/>
        </w:rPr>
        <w:t xml:space="preserve">небольших </w:t>
      </w:r>
      <w:r w:rsidRPr="00DF1530">
        <w:rPr>
          <w:lang w:val="ru-RU"/>
        </w:rPr>
        <w:t xml:space="preserve">финансовых потребностей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494100" w:rsidRPr="00DF1530">
        <w:rPr>
          <w:lang w:val="ru-RU"/>
        </w:rPr>
        <w:t xml:space="preserve"> В Российской Федерации существует крупный и растущий сектор микрофинансирования</w:t>
      </w:r>
      <w:r w:rsidR="008C7A93" w:rsidRPr="00DF1530">
        <w:rPr>
          <w:lang w:val="ru-RU"/>
        </w:rPr>
        <w:t xml:space="preserve"> </w:t>
      </w:r>
      <w:r w:rsidR="00494100" w:rsidRPr="00DF1530">
        <w:rPr>
          <w:lang w:val="ru-RU"/>
        </w:rPr>
        <w:t xml:space="preserve">с </w:t>
      </w:r>
      <w:r w:rsidR="00976BC2" w:rsidRPr="00DF1530">
        <w:rPr>
          <w:lang w:val="ru-RU"/>
        </w:rPr>
        <w:t>приблизительно</w:t>
      </w:r>
      <w:r w:rsidR="008C7A93" w:rsidRPr="00DF1530">
        <w:rPr>
          <w:lang w:val="ru-RU"/>
        </w:rPr>
        <w:t xml:space="preserve"> 3 750 </w:t>
      </w:r>
      <w:r w:rsidR="00494100" w:rsidRPr="00DF1530">
        <w:rPr>
          <w:lang w:val="ru-RU"/>
        </w:rPr>
        <w:t xml:space="preserve">поставщиками услуг, управляющими портфелем на сумму </w:t>
      </w:r>
      <w:r w:rsidR="00976BC2" w:rsidRPr="00DF1530">
        <w:rPr>
          <w:lang w:val="ru-RU"/>
        </w:rPr>
        <w:t>приблизительно</w:t>
      </w:r>
      <w:r w:rsidR="008C7A93" w:rsidRPr="00DF1530">
        <w:rPr>
          <w:lang w:val="ru-RU"/>
        </w:rPr>
        <w:t xml:space="preserve"> 35 </w:t>
      </w:r>
      <w:r w:rsidR="009E3AC4" w:rsidRPr="00DF1530">
        <w:rPr>
          <w:lang w:val="ru-RU"/>
        </w:rPr>
        <w:t>миллиард</w:t>
      </w:r>
      <w:r w:rsidR="00494100" w:rsidRPr="00DF1530">
        <w:rPr>
          <w:lang w:val="ru-RU"/>
        </w:rPr>
        <w:t>ов рублей</w:t>
      </w:r>
      <w:r w:rsidR="008C7A93" w:rsidRPr="00DF1530">
        <w:rPr>
          <w:lang w:val="ru-RU"/>
        </w:rPr>
        <w:t xml:space="preserve">. </w:t>
      </w:r>
      <w:r w:rsidR="00976BC2" w:rsidRPr="00DF1530">
        <w:rPr>
          <w:lang w:val="ru-RU"/>
        </w:rPr>
        <w:t>Приблизительно</w:t>
      </w:r>
      <w:r w:rsidR="008C7A93" w:rsidRPr="00DF1530">
        <w:rPr>
          <w:lang w:val="ru-RU"/>
        </w:rPr>
        <w:t xml:space="preserve"> 70% </w:t>
      </w:r>
      <w:r w:rsidR="00494100" w:rsidRPr="00DF1530">
        <w:rPr>
          <w:lang w:val="ru-RU"/>
        </w:rPr>
        <w:t xml:space="preserve">микрофинансовых организаций осуществляют кредитование </w:t>
      </w:r>
      <w:r w:rsidR="00F736B7" w:rsidRPr="00DF1530">
        <w:rPr>
          <w:lang w:val="ru-RU"/>
        </w:rPr>
        <w:t>МСП</w:t>
      </w:r>
      <w:r w:rsidR="008C7A93" w:rsidRPr="00DF1530">
        <w:rPr>
          <w:lang w:val="ru-RU"/>
        </w:rPr>
        <w:t xml:space="preserve">. </w:t>
      </w:r>
      <w:r w:rsidR="00494100" w:rsidRPr="00DF1530">
        <w:rPr>
          <w:lang w:val="ru-RU"/>
        </w:rPr>
        <w:t xml:space="preserve">Хотя они играют важную роль в </w:t>
      </w:r>
      <w:r w:rsidR="004A7BFD" w:rsidRPr="00DF1530">
        <w:rPr>
          <w:lang w:val="ru-RU"/>
        </w:rPr>
        <w:t>финансировани</w:t>
      </w:r>
      <w:r w:rsidR="00494100" w:rsidRPr="00DF1530">
        <w:rPr>
          <w:lang w:val="ru-RU"/>
        </w:rPr>
        <w:t>и</w:t>
      </w:r>
      <w:r w:rsidR="008C7A93" w:rsidRPr="00DF1530">
        <w:rPr>
          <w:lang w:val="ru-RU"/>
        </w:rPr>
        <w:t xml:space="preserve"> </w:t>
      </w:r>
      <w:r w:rsidR="00494100" w:rsidRPr="00DF1530">
        <w:rPr>
          <w:lang w:val="ru-RU"/>
        </w:rPr>
        <w:t xml:space="preserve">новых и мелких </w:t>
      </w:r>
      <w:r w:rsidR="00F736B7" w:rsidRPr="00DF1530">
        <w:rPr>
          <w:lang w:val="ru-RU"/>
        </w:rPr>
        <w:t>МСП</w:t>
      </w:r>
      <w:r w:rsidR="008C7A93" w:rsidRPr="00DF1530">
        <w:rPr>
          <w:lang w:val="ru-RU"/>
        </w:rPr>
        <w:t xml:space="preserve">, </w:t>
      </w:r>
      <w:r w:rsidR="00494100" w:rsidRPr="00DF1530">
        <w:rPr>
          <w:lang w:val="ru-RU"/>
        </w:rPr>
        <w:t xml:space="preserve">они не в состоянии осуществлять более крупное и долгосрочное кредитование </w:t>
      </w:r>
      <w:r w:rsidR="00834072" w:rsidRPr="00DF1530">
        <w:rPr>
          <w:lang w:val="ru-RU"/>
        </w:rPr>
        <w:t>МСП</w:t>
      </w:r>
      <w:r w:rsidR="008C7A93" w:rsidRPr="00DF1530">
        <w:rPr>
          <w:lang w:val="ru-RU"/>
        </w:rPr>
        <w:t xml:space="preserve"> </w:t>
      </w:r>
      <w:r w:rsidR="00494100" w:rsidRPr="00DF1530">
        <w:rPr>
          <w:lang w:val="ru-RU"/>
        </w:rPr>
        <w:t xml:space="preserve">по </w:t>
      </w:r>
      <w:r w:rsidR="00834072" w:rsidRPr="00DF1530">
        <w:rPr>
          <w:lang w:val="ru-RU"/>
        </w:rPr>
        <w:t>сравнительно</w:t>
      </w:r>
      <w:r w:rsidR="008C7A93" w:rsidRPr="00DF1530">
        <w:rPr>
          <w:lang w:val="ru-RU"/>
        </w:rPr>
        <w:t xml:space="preserve"> </w:t>
      </w:r>
      <w:r w:rsidR="00494100" w:rsidRPr="00DF1530">
        <w:rPr>
          <w:lang w:val="ru-RU"/>
        </w:rPr>
        <w:t xml:space="preserve">низким </w:t>
      </w:r>
      <w:r w:rsidR="00DC5FB1" w:rsidRPr="00DF1530">
        <w:rPr>
          <w:lang w:val="ru-RU"/>
        </w:rPr>
        <w:t>процентн</w:t>
      </w:r>
      <w:r w:rsidR="00494100" w:rsidRPr="00DF1530">
        <w:rPr>
          <w:lang w:val="ru-RU"/>
        </w:rPr>
        <w:t>ым</w:t>
      </w:r>
      <w:r w:rsidR="00DC5FB1" w:rsidRPr="00DF1530">
        <w:rPr>
          <w:lang w:val="ru-RU"/>
        </w:rPr>
        <w:t xml:space="preserve"> ставка</w:t>
      </w:r>
      <w:r w:rsidR="00494100" w:rsidRPr="00DF1530">
        <w:rPr>
          <w:lang w:val="ru-RU"/>
        </w:rPr>
        <w:t>м</w:t>
      </w:r>
      <w:r w:rsidR="008C7A93" w:rsidRPr="00DF1530">
        <w:rPr>
          <w:lang w:val="ru-RU"/>
        </w:rPr>
        <w:t xml:space="preserve"> </w:t>
      </w:r>
      <w:r w:rsidR="00494100" w:rsidRPr="00DF1530">
        <w:rPr>
          <w:lang w:val="ru-RU"/>
        </w:rPr>
        <w:t>без привлечения банков</w:t>
      </w:r>
      <w:r w:rsidR="008C7A93" w:rsidRPr="00DF1530">
        <w:rPr>
          <w:lang w:val="ru-RU"/>
        </w:rPr>
        <w:t xml:space="preserve">. </w:t>
      </w:r>
      <w:r w:rsidR="00494100" w:rsidRPr="00DF1530">
        <w:rPr>
          <w:lang w:val="ru-RU"/>
        </w:rPr>
        <w:t>Кроме того, существующая система микрофинансирования</w:t>
      </w:r>
      <w:r w:rsidR="008C7A93" w:rsidRPr="00DF1530">
        <w:rPr>
          <w:lang w:val="ru-RU"/>
        </w:rPr>
        <w:t xml:space="preserve"> </w:t>
      </w:r>
      <w:r w:rsidR="00494100" w:rsidRPr="00DF1530">
        <w:rPr>
          <w:lang w:val="ru-RU"/>
        </w:rPr>
        <w:t>недостаточно эффективна</w:t>
      </w:r>
      <w:r w:rsidR="008C7A93" w:rsidRPr="00DF1530">
        <w:rPr>
          <w:lang w:val="ru-RU"/>
        </w:rPr>
        <w:t xml:space="preserve">. </w:t>
      </w:r>
      <w:r w:rsidR="00494100" w:rsidRPr="00DF1530">
        <w:rPr>
          <w:lang w:val="ru-RU"/>
        </w:rPr>
        <w:t>Отсутствуют согласованные стандарты оценки результатов и отчетности</w:t>
      </w:r>
      <w:r w:rsidR="008C7A93" w:rsidRPr="00DF1530">
        <w:rPr>
          <w:lang w:val="ru-RU"/>
        </w:rPr>
        <w:t xml:space="preserve">, </w:t>
      </w:r>
      <w:r w:rsidR="00494100" w:rsidRPr="00DF1530">
        <w:rPr>
          <w:lang w:val="ru-RU"/>
        </w:rPr>
        <w:t xml:space="preserve">недостаточны возможности для оценки </w:t>
      </w:r>
      <w:r w:rsidR="005836E9" w:rsidRPr="00DF1530">
        <w:rPr>
          <w:lang w:val="ru-RU"/>
        </w:rPr>
        <w:t xml:space="preserve">системного </w:t>
      </w:r>
      <w:r w:rsidR="00494100" w:rsidRPr="00DF1530">
        <w:rPr>
          <w:lang w:val="ru-RU"/>
        </w:rPr>
        <w:t>риска и риска клиентов</w:t>
      </w:r>
      <w:r w:rsidR="008C7A93" w:rsidRPr="00DF1530">
        <w:rPr>
          <w:lang w:val="ru-RU"/>
        </w:rPr>
        <w:t xml:space="preserve">, </w:t>
      </w:r>
      <w:r w:rsidR="00494100" w:rsidRPr="00DF1530">
        <w:rPr>
          <w:lang w:val="ru-RU"/>
        </w:rPr>
        <w:t>плохо организовано управление</w:t>
      </w:r>
      <w:r w:rsidR="008C7A93" w:rsidRPr="00DF1530">
        <w:rPr>
          <w:lang w:val="ru-RU"/>
        </w:rPr>
        <w:t xml:space="preserve">, </w:t>
      </w:r>
      <w:r w:rsidR="00494100" w:rsidRPr="00DF1530">
        <w:rPr>
          <w:lang w:val="ru-RU"/>
        </w:rPr>
        <w:t>и на рынке доминируют небольшие организации</w:t>
      </w:r>
      <w:r w:rsidR="008C7A93" w:rsidRPr="00DF1530">
        <w:rPr>
          <w:lang w:val="ru-RU"/>
        </w:rPr>
        <w:t xml:space="preserve">, </w:t>
      </w:r>
      <w:r w:rsidR="00494100" w:rsidRPr="00DF1530">
        <w:rPr>
          <w:lang w:val="ru-RU"/>
        </w:rPr>
        <w:t>поэтому отсутствуют экономия за сч</w:t>
      </w:r>
      <w:r w:rsidR="00BD465D" w:rsidRPr="00DF1530">
        <w:rPr>
          <w:lang w:val="ru-RU"/>
        </w:rPr>
        <w:t>е</w:t>
      </w:r>
      <w:r w:rsidR="00494100" w:rsidRPr="00DF1530">
        <w:rPr>
          <w:lang w:val="ru-RU"/>
        </w:rPr>
        <w:t>т масштаба и распределение портфелей</w:t>
      </w:r>
      <w:r w:rsidR="008C7A93" w:rsidRPr="00DF1530">
        <w:rPr>
          <w:lang w:val="ru-RU"/>
        </w:rPr>
        <w:t xml:space="preserve">. </w:t>
      </w:r>
      <w:r w:rsidR="00F736B7" w:rsidRPr="00DF1530">
        <w:rPr>
          <w:lang w:val="ru-RU"/>
        </w:rPr>
        <w:t>В частности</w:t>
      </w:r>
      <w:r w:rsidR="008C7A93" w:rsidRPr="00DF1530">
        <w:rPr>
          <w:lang w:val="ru-RU"/>
        </w:rPr>
        <w:t xml:space="preserve">, </w:t>
      </w:r>
      <w:r w:rsidR="00494100" w:rsidRPr="00DF1530">
        <w:rPr>
          <w:lang w:val="ru-RU"/>
        </w:rPr>
        <w:t xml:space="preserve">заемщикам трудно отличить кредиторов с очень высокой суточной стоимостью кредита от микрофинансовых кредиторов с более приемлемыми </w:t>
      </w:r>
      <w:r w:rsidR="00DC5FB1" w:rsidRPr="00DF1530">
        <w:rPr>
          <w:lang w:val="ru-RU"/>
        </w:rPr>
        <w:t>процентн</w:t>
      </w:r>
      <w:r w:rsidR="00494100" w:rsidRPr="00DF1530">
        <w:rPr>
          <w:lang w:val="ru-RU"/>
        </w:rPr>
        <w:t>ыми</w:t>
      </w:r>
      <w:r w:rsidR="00DC5FB1" w:rsidRPr="00DF1530">
        <w:rPr>
          <w:lang w:val="ru-RU"/>
        </w:rPr>
        <w:t xml:space="preserve"> ставка</w:t>
      </w:r>
      <w:r w:rsidR="00494100" w:rsidRPr="00DF1530">
        <w:rPr>
          <w:lang w:val="ru-RU"/>
        </w:rPr>
        <w:t>ми</w:t>
      </w:r>
      <w:r w:rsidR="008C7A93" w:rsidRPr="00DF1530">
        <w:rPr>
          <w:lang w:val="ru-RU"/>
        </w:rPr>
        <w:t xml:space="preserve">. </w:t>
      </w:r>
    </w:p>
    <w:p w:rsidR="008C7A93" w:rsidRPr="00DF1530" w:rsidRDefault="00AD3D44" w:rsidP="008C7A93">
      <w:pPr>
        <w:pStyle w:val="31"/>
        <w:rPr>
          <w:lang w:val="ru-RU"/>
        </w:rPr>
      </w:pPr>
      <w:r w:rsidRPr="00DF1530">
        <w:rPr>
          <w:lang w:val="ru-RU"/>
        </w:rPr>
        <w:t xml:space="preserve">Стабильный </w:t>
      </w:r>
      <w:r w:rsidR="00494100" w:rsidRPr="00DF1530">
        <w:rPr>
          <w:lang w:val="ru-RU"/>
        </w:rPr>
        <w:t>рынок ценных бумаг</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8C7A93" w:rsidRPr="00DF1530">
        <w:rPr>
          <w:lang w:val="ru-RU"/>
        </w:rPr>
        <w:t xml:space="preserve"> </w:t>
      </w:r>
      <w:r w:rsidR="008E18A7" w:rsidRPr="00DF1530">
        <w:rPr>
          <w:lang w:val="ru-RU"/>
        </w:rPr>
        <w:t>Инвестиции на раннем этапе в венчурный капитал</w:t>
      </w:r>
      <w:r w:rsidR="008C7A93" w:rsidRPr="00DF1530">
        <w:rPr>
          <w:lang w:val="ru-RU"/>
        </w:rPr>
        <w:t xml:space="preserve"> </w:t>
      </w:r>
      <w:r w:rsidR="00592D7B" w:rsidRPr="00DF1530">
        <w:rPr>
          <w:lang w:val="ru-RU"/>
        </w:rPr>
        <w:t>значительно</w:t>
      </w:r>
      <w:r w:rsidR="008C7A93" w:rsidRPr="00DF1530">
        <w:rPr>
          <w:lang w:val="ru-RU"/>
        </w:rPr>
        <w:t xml:space="preserve"> </w:t>
      </w:r>
      <w:r w:rsidR="008E18A7" w:rsidRPr="00DF1530">
        <w:rPr>
          <w:lang w:val="ru-RU"/>
        </w:rPr>
        <w:t xml:space="preserve">возросли </w:t>
      </w:r>
      <w:r w:rsidR="00834072" w:rsidRPr="00DF1530">
        <w:rPr>
          <w:lang w:val="ru-RU"/>
        </w:rPr>
        <w:t>в Российской Федерации</w:t>
      </w:r>
      <w:r w:rsidR="008C7A93" w:rsidRPr="00DF1530">
        <w:rPr>
          <w:lang w:val="ru-RU"/>
        </w:rPr>
        <w:t xml:space="preserve">, </w:t>
      </w:r>
      <w:r w:rsidR="008E18A7" w:rsidRPr="00DF1530">
        <w:rPr>
          <w:lang w:val="ru-RU"/>
        </w:rPr>
        <w:t xml:space="preserve">с </w:t>
      </w:r>
      <w:r w:rsidR="00976BC2" w:rsidRPr="00DF1530">
        <w:rPr>
          <w:lang w:val="ru-RU"/>
        </w:rPr>
        <w:t>приблизительно</w:t>
      </w:r>
      <w:r w:rsidR="008C7A93" w:rsidRPr="00DF1530">
        <w:rPr>
          <w:lang w:val="ru-RU"/>
        </w:rPr>
        <w:t xml:space="preserve"> 108 </w:t>
      </w:r>
      <w:r w:rsidR="00834072" w:rsidRPr="00DF1530">
        <w:rPr>
          <w:lang w:val="ru-RU"/>
        </w:rPr>
        <w:t>миллион</w:t>
      </w:r>
      <w:r w:rsidR="008E18A7" w:rsidRPr="00DF1530">
        <w:rPr>
          <w:lang w:val="ru-RU"/>
        </w:rPr>
        <w:t xml:space="preserve">ов </w:t>
      </w:r>
      <w:r w:rsidR="002C0BD8" w:rsidRPr="00DF1530">
        <w:rPr>
          <w:lang w:val="ru-RU"/>
        </w:rPr>
        <w:t xml:space="preserve">долларов США </w:t>
      </w:r>
      <w:r w:rsidR="008E18A7" w:rsidRPr="00DF1530">
        <w:rPr>
          <w:lang w:val="ru-RU"/>
        </w:rPr>
        <w:t>в</w:t>
      </w:r>
      <w:r w:rsidR="008C7A93" w:rsidRPr="00DF1530">
        <w:rPr>
          <w:lang w:val="ru-RU"/>
        </w:rPr>
        <w:t xml:space="preserve"> 2007 </w:t>
      </w:r>
      <w:r w:rsidR="008E18A7" w:rsidRPr="00DF1530">
        <w:rPr>
          <w:lang w:val="ru-RU"/>
        </w:rPr>
        <w:t xml:space="preserve">году до </w:t>
      </w:r>
      <w:r w:rsidR="008C7A93" w:rsidRPr="00DF1530">
        <w:rPr>
          <w:lang w:val="ru-RU"/>
        </w:rPr>
        <w:t xml:space="preserve">398 </w:t>
      </w:r>
      <w:r w:rsidR="00834072" w:rsidRPr="00DF1530">
        <w:rPr>
          <w:lang w:val="ru-RU"/>
        </w:rPr>
        <w:t>миллион</w:t>
      </w:r>
      <w:r w:rsidR="008E18A7" w:rsidRPr="00DF1530">
        <w:rPr>
          <w:lang w:val="ru-RU"/>
        </w:rPr>
        <w:t xml:space="preserve">ов </w:t>
      </w:r>
      <w:r w:rsidR="002C0BD8" w:rsidRPr="00DF1530">
        <w:rPr>
          <w:lang w:val="ru-RU"/>
        </w:rPr>
        <w:t xml:space="preserve">долларов США </w:t>
      </w:r>
      <w:r w:rsidR="00F736B7" w:rsidRPr="00DF1530">
        <w:rPr>
          <w:lang w:val="ru-RU"/>
        </w:rPr>
        <w:t>в 2012 году</w:t>
      </w:r>
      <w:r w:rsidR="008C7A93" w:rsidRPr="00DF1530">
        <w:rPr>
          <w:lang w:val="ru-RU"/>
        </w:rPr>
        <w:t xml:space="preserve">, </w:t>
      </w:r>
      <w:r w:rsidR="008E18A7" w:rsidRPr="00DF1530">
        <w:rPr>
          <w:lang w:val="ru-RU"/>
        </w:rPr>
        <w:t>и потоки частного капитала и венчурного капитала</w:t>
      </w:r>
      <w:r w:rsidR="008C7A93" w:rsidRPr="00DF1530">
        <w:rPr>
          <w:lang w:val="ru-RU"/>
        </w:rPr>
        <w:t xml:space="preserve"> </w:t>
      </w:r>
      <w:r w:rsidR="008E18A7" w:rsidRPr="00DF1530">
        <w:rPr>
          <w:lang w:val="ru-RU"/>
        </w:rPr>
        <w:t xml:space="preserve">на всех этапах сравнимы с рядом стран </w:t>
      </w:r>
      <w:r w:rsidR="005E53F2" w:rsidRPr="00DF1530">
        <w:rPr>
          <w:lang w:val="ru-RU"/>
        </w:rPr>
        <w:t>ОЭСР</w:t>
      </w:r>
      <w:r w:rsidR="008C7A93" w:rsidRPr="00DF1530">
        <w:rPr>
          <w:lang w:val="ru-RU"/>
        </w:rPr>
        <w:t xml:space="preserve"> </w:t>
      </w:r>
      <w:r w:rsidR="008E18A7" w:rsidRPr="00DF1530">
        <w:rPr>
          <w:lang w:val="ru-RU"/>
        </w:rPr>
        <w:t xml:space="preserve">в процентах от </w:t>
      </w:r>
      <w:r w:rsidR="00592D7B" w:rsidRPr="00DF1530">
        <w:rPr>
          <w:lang w:val="ru-RU"/>
        </w:rPr>
        <w:t>ВВП</w:t>
      </w:r>
      <w:r w:rsidR="008C7A93" w:rsidRPr="00DF1530">
        <w:rPr>
          <w:lang w:val="ru-RU"/>
        </w:rPr>
        <w:t xml:space="preserve"> (</w:t>
      </w:r>
      <w:r w:rsidR="00592D7B" w:rsidRPr="00DF1530">
        <w:rPr>
          <w:lang w:val="ru-RU"/>
        </w:rPr>
        <w:t>Рисунок</w:t>
      </w:r>
      <w:r w:rsidR="008C7A93" w:rsidRPr="00DF1530">
        <w:rPr>
          <w:lang w:val="ru-RU"/>
        </w:rPr>
        <w:t xml:space="preserve"> 1.14). </w:t>
      </w:r>
      <w:r w:rsidR="007C68D2" w:rsidRPr="00DF1530">
        <w:rPr>
          <w:lang w:val="ru-RU"/>
        </w:rPr>
        <w:t>Однако</w:t>
      </w:r>
      <w:r w:rsidR="008C7A93" w:rsidRPr="00DF1530">
        <w:rPr>
          <w:lang w:val="ru-RU"/>
        </w:rPr>
        <w:t xml:space="preserve"> </w:t>
      </w:r>
      <w:r w:rsidR="008E18A7" w:rsidRPr="00DF1530">
        <w:rPr>
          <w:lang w:val="ru-RU"/>
        </w:rPr>
        <w:t>размер отдельных фондов венчурного капитала</w:t>
      </w:r>
      <w:r w:rsidR="008C7A93" w:rsidRPr="00DF1530">
        <w:rPr>
          <w:lang w:val="ru-RU"/>
        </w:rPr>
        <w:t xml:space="preserve"> </w:t>
      </w:r>
      <w:r w:rsidR="00834072" w:rsidRPr="00DF1530">
        <w:rPr>
          <w:lang w:val="ru-RU"/>
        </w:rPr>
        <w:t>сравнительно</w:t>
      </w:r>
      <w:r w:rsidR="008C7A93" w:rsidRPr="00DF1530">
        <w:rPr>
          <w:lang w:val="ru-RU"/>
        </w:rPr>
        <w:t xml:space="preserve"> </w:t>
      </w:r>
      <w:r w:rsidR="008E18A7" w:rsidRPr="00DF1530">
        <w:rPr>
          <w:lang w:val="ru-RU"/>
        </w:rPr>
        <w:t>невелик</w:t>
      </w:r>
      <w:r w:rsidR="008C7A93" w:rsidRPr="00DF1530">
        <w:rPr>
          <w:lang w:val="ru-RU"/>
        </w:rPr>
        <w:t xml:space="preserve">, </w:t>
      </w:r>
      <w:r w:rsidR="008E18A7" w:rsidRPr="00DF1530">
        <w:rPr>
          <w:lang w:val="ru-RU"/>
        </w:rPr>
        <w:t xml:space="preserve">крупные </w:t>
      </w:r>
      <w:r w:rsidR="00B32F4A" w:rsidRPr="00DF1530">
        <w:rPr>
          <w:lang w:val="ru-RU"/>
        </w:rPr>
        <w:t>инвестиции</w:t>
      </w:r>
      <w:r w:rsidR="008C7A93" w:rsidRPr="00DF1530">
        <w:rPr>
          <w:lang w:val="ru-RU"/>
        </w:rPr>
        <w:t xml:space="preserve"> </w:t>
      </w:r>
      <w:r w:rsidR="008E18A7" w:rsidRPr="00DF1530">
        <w:rPr>
          <w:lang w:val="ru-RU"/>
        </w:rPr>
        <w:t>требуют синдицирования</w:t>
      </w:r>
      <w:r w:rsidR="008C7A93" w:rsidRPr="00DF1530">
        <w:rPr>
          <w:lang w:val="ru-RU"/>
        </w:rPr>
        <w:t xml:space="preserve">. </w:t>
      </w:r>
      <w:r w:rsidR="003F13A5" w:rsidRPr="00DF1530">
        <w:rPr>
          <w:lang w:val="ru-RU"/>
        </w:rPr>
        <w:t>Кроме того</w:t>
      </w:r>
      <w:r w:rsidR="008C7A93" w:rsidRPr="00DF1530">
        <w:rPr>
          <w:lang w:val="ru-RU"/>
        </w:rPr>
        <w:t xml:space="preserve">, </w:t>
      </w:r>
      <w:r w:rsidR="004A7BFD" w:rsidRPr="00DF1530">
        <w:rPr>
          <w:lang w:val="ru-RU"/>
        </w:rPr>
        <w:t>финансирование</w:t>
      </w:r>
      <w:r w:rsidR="008C7A93" w:rsidRPr="00DF1530">
        <w:rPr>
          <w:lang w:val="ru-RU"/>
        </w:rPr>
        <w:t xml:space="preserve"> </w:t>
      </w:r>
      <w:r w:rsidR="008E18A7" w:rsidRPr="00DF1530">
        <w:rPr>
          <w:lang w:val="ru-RU"/>
        </w:rPr>
        <w:t>бизнес-ангелов все еще ограниченное</w:t>
      </w:r>
      <w:r w:rsidR="008C7A93" w:rsidRPr="00DF1530">
        <w:rPr>
          <w:lang w:val="ru-RU"/>
        </w:rPr>
        <w:t xml:space="preserve">, </w:t>
      </w:r>
      <w:r w:rsidR="008E18A7" w:rsidRPr="00DF1530">
        <w:rPr>
          <w:lang w:val="ru-RU"/>
        </w:rPr>
        <w:t xml:space="preserve">что отражает отсутствие традиции бизнес-ангелов </w:t>
      </w:r>
      <w:r w:rsidR="00834072" w:rsidRPr="00DF1530">
        <w:rPr>
          <w:lang w:val="ru-RU"/>
        </w:rPr>
        <w:t>в Российской Федерации</w:t>
      </w:r>
      <w:r w:rsidR="008E18A7" w:rsidRPr="00DF1530">
        <w:rPr>
          <w:lang w:val="ru-RU"/>
        </w:rPr>
        <w:t>,</w:t>
      </w:r>
      <w:r w:rsidR="008C7A93" w:rsidRPr="00DF1530">
        <w:rPr>
          <w:lang w:val="ru-RU"/>
        </w:rPr>
        <w:t xml:space="preserve"> </w:t>
      </w:r>
      <w:r w:rsidR="008E18A7" w:rsidRPr="00DF1530">
        <w:rPr>
          <w:lang w:val="ru-RU"/>
        </w:rPr>
        <w:t xml:space="preserve">а также вопросы, </w:t>
      </w:r>
      <w:r w:rsidR="00D057F5" w:rsidRPr="00DF1530">
        <w:rPr>
          <w:lang w:val="ru-RU"/>
        </w:rPr>
        <w:t>касающиеся</w:t>
      </w:r>
      <w:r w:rsidR="008E18A7" w:rsidRPr="00DF1530">
        <w:rPr>
          <w:lang w:val="ru-RU"/>
        </w:rPr>
        <w:t xml:space="preserve"> правовой защиты миноритарных </w:t>
      </w:r>
      <w:r w:rsidR="00175A0E" w:rsidRPr="00DF1530">
        <w:rPr>
          <w:lang w:val="ru-RU"/>
        </w:rPr>
        <w:t>инвестор</w:t>
      </w:r>
      <w:r w:rsidR="008E18A7" w:rsidRPr="00DF1530">
        <w:rPr>
          <w:lang w:val="ru-RU"/>
        </w:rPr>
        <w:t>ов</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1.14</w:t>
      </w:r>
      <w:r w:rsidR="008C7A93" w:rsidRPr="00DF1530">
        <w:rPr>
          <w:lang w:val="ru-RU"/>
        </w:rPr>
        <w:tab/>
      </w:r>
      <w:r w:rsidR="005836E9" w:rsidRPr="00DF1530">
        <w:rPr>
          <w:lang w:val="ru-RU"/>
        </w:rPr>
        <w:t xml:space="preserve">Инвестиции в частный капитал и </w:t>
      </w:r>
      <w:r w:rsidR="008E18A7" w:rsidRPr="00DF1530">
        <w:rPr>
          <w:lang w:val="ru-RU"/>
        </w:rPr>
        <w:t>венчурный капитал</w:t>
      </w:r>
      <w:r w:rsidR="008C7A93" w:rsidRPr="00DF1530">
        <w:rPr>
          <w:lang w:val="ru-RU"/>
        </w:rPr>
        <w:t xml:space="preserve"> </w:t>
      </w:r>
      <w:r w:rsidR="005836E9" w:rsidRPr="00DF1530">
        <w:rPr>
          <w:lang w:val="ru-RU"/>
        </w:rPr>
        <w:t xml:space="preserve">в процентах от </w:t>
      </w:r>
      <w:r w:rsidRPr="00DF1530">
        <w:rPr>
          <w:lang w:val="ru-RU"/>
        </w:rPr>
        <w:t>ВВП</w:t>
      </w:r>
      <w:r w:rsidR="009030BD" w:rsidRPr="00DF1530">
        <w:rPr>
          <w:lang w:val="ru-RU"/>
        </w:rPr>
        <w:fldChar w:fldCharType="begin"/>
      </w:r>
      <w:r w:rsidR="008C7A93" w:rsidRPr="00DF1530">
        <w:rPr>
          <w:lang w:val="ru-RU"/>
        </w:rPr>
        <w:instrText xml:space="preserve"> TC \f f \l 2 "Figure 1.14</w:instrText>
      </w:r>
      <w:r w:rsidR="008C7A93" w:rsidRPr="00DF1530">
        <w:rPr>
          <w:lang w:val="ru-RU"/>
        </w:rPr>
        <w:tab/>
        <w:instrText xml:space="preserve">Private equity and venture capital investments as a proportion of GDP"  </w:instrText>
      </w:r>
      <w:r w:rsidR="009030BD" w:rsidRPr="00DF1530">
        <w:rPr>
          <w:lang w:val="ru-RU"/>
        </w:rPr>
        <w:fldChar w:fldCharType="end"/>
      </w:r>
    </w:p>
    <w:p w:rsidR="008C7A93" w:rsidRPr="00DF1530" w:rsidRDefault="005836E9" w:rsidP="008C7A93">
      <w:pPr>
        <w:pStyle w:val="FigureSub-title"/>
        <w:rPr>
          <w:lang w:val="ru-RU"/>
        </w:rPr>
      </w:pPr>
      <w:r w:rsidRPr="00DF1530">
        <w:rPr>
          <w:lang w:val="ru-RU"/>
        </w:rPr>
        <w:t>Потоки</w:t>
      </w:r>
      <w:r w:rsidR="008C7A93" w:rsidRPr="00DF1530">
        <w:rPr>
          <w:lang w:val="ru-RU"/>
        </w:rPr>
        <w:t xml:space="preserve">, </w:t>
      </w:r>
      <w:r w:rsidRPr="00DF1530">
        <w:rPr>
          <w:lang w:val="ru-RU"/>
        </w:rPr>
        <w:t xml:space="preserve">в процентах от </w:t>
      </w:r>
      <w:r w:rsidR="00592D7B" w:rsidRPr="00DF1530">
        <w:rPr>
          <w:lang w:val="ru-RU"/>
        </w:rPr>
        <w:t>ВВП</w:t>
      </w:r>
    </w:p>
    <w:p w:rsidR="008C7A93" w:rsidRPr="00DF1530" w:rsidRDefault="008C7A93" w:rsidP="008C7A93">
      <w:pPr>
        <w:pStyle w:val="Graphic"/>
        <w:rPr>
          <w:lang w:val="ru-RU"/>
        </w:rPr>
      </w:pPr>
      <w:r w:rsidRPr="00DF1530">
        <w:rPr>
          <w:noProof/>
          <w:lang w:val="ru-RU" w:eastAsia="ru-RU"/>
        </w:rPr>
        <w:drawing>
          <wp:inline distT="0" distB="0" distL="0" distR="0">
            <wp:extent cx="5560060" cy="255460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0060" cy="2554605"/>
                    </a:xfrm>
                    <a:prstGeom prst="rect">
                      <a:avLst/>
                    </a:prstGeom>
                    <a:noFill/>
                  </pic:spPr>
                </pic:pic>
              </a:graphicData>
            </a:graphic>
          </wp:inline>
        </w:drawing>
      </w:r>
    </w:p>
    <w:p w:rsidR="008C7A93" w:rsidRPr="00DF1530" w:rsidRDefault="00DD2995" w:rsidP="008C7A93">
      <w:pPr>
        <w:pStyle w:val="FigureNote"/>
        <w:rPr>
          <w:lang w:val="ru-RU"/>
        </w:rPr>
      </w:pPr>
      <w:r w:rsidRPr="00DF1530">
        <w:rPr>
          <w:lang w:val="ru-RU"/>
        </w:rPr>
        <w:t>Примечание:</w:t>
      </w:r>
      <w:r w:rsidR="008C7A93" w:rsidRPr="00DF1530">
        <w:rPr>
          <w:lang w:val="ru-RU"/>
        </w:rPr>
        <w:t xml:space="preserve"> </w:t>
      </w:r>
      <w:r w:rsidR="005836E9" w:rsidRPr="00DF1530">
        <w:rPr>
          <w:lang w:val="ru-RU"/>
        </w:rPr>
        <w:t xml:space="preserve">Включает </w:t>
      </w:r>
      <w:r w:rsidR="00B32F4A" w:rsidRPr="00DF1530">
        <w:rPr>
          <w:lang w:val="ru-RU"/>
        </w:rPr>
        <w:t>инвестиции</w:t>
      </w:r>
      <w:r w:rsidR="008C7A93" w:rsidRPr="00DF1530">
        <w:rPr>
          <w:lang w:val="ru-RU"/>
        </w:rPr>
        <w:t xml:space="preserve"> </w:t>
      </w:r>
      <w:r w:rsidR="005836E9" w:rsidRPr="00DF1530">
        <w:rPr>
          <w:lang w:val="ru-RU"/>
        </w:rPr>
        <w:t xml:space="preserve">на более поздних этапах, а также начальные инвестиции и </w:t>
      </w:r>
      <w:r w:rsidR="00B32F4A" w:rsidRPr="00DF1530">
        <w:rPr>
          <w:lang w:val="ru-RU"/>
        </w:rPr>
        <w:t>инвестиции</w:t>
      </w:r>
      <w:r w:rsidR="005836E9" w:rsidRPr="00DF1530">
        <w:rPr>
          <w:lang w:val="ru-RU"/>
        </w:rPr>
        <w:t xml:space="preserve"> на раннем этапе</w:t>
      </w:r>
    </w:p>
    <w:p w:rsidR="008C7A93" w:rsidRPr="00BA51F1" w:rsidRDefault="00592D7B" w:rsidP="008C7A93">
      <w:pPr>
        <w:pStyle w:val="SourceDescription"/>
        <w:rPr>
          <w:lang w:val="en-US"/>
        </w:rPr>
      </w:pPr>
      <w:r w:rsidRPr="00DF1530">
        <w:rPr>
          <w:lang w:val="ru-RU"/>
        </w:rPr>
        <w:t>Источник</w:t>
      </w:r>
      <w:r w:rsidRPr="00BA51F1">
        <w:rPr>
          <w:lang w:val="en-US"/>
        </w:rPr>
        <w:t xml:space="preserve"> </w:t>
      </w:r>
      <w:r w:rsidRPr="00DF1530">
        <w:rPr>
          <w:lang w:val="ru-RU"/>
        </w:rPr>
        <w:t>информации</w:t>
      </w:r>
      <w:r w:rsidR="008C7A93" w:rsidRPr="00BA51F1">
        <w:rPr>
          <w:lang w:val="en-US"/>
        </w:rPr>
        <w:t xml:space="preserve">: </w:t>
      </w:r>
      <w:r w:rsidR="005E53F2" w:rsidRPr="00DF1530">
        <w:rPr>
          <w:lang w:val="ru-RU"/>
        </w:rPr>
        <w:t>ОЭСР</w:t>
      </w:r>
      <w:r w:rsidR="008C7A93" w:rsidRPr="00BA51F1">
        <w:rPr>
          <w:lang w:val="en-US"/>
        </w:rPr>
        <w:t xml:space="preserve"> (2014a) </w:t>
      </w:r>
      <w:r w:rsidR="00347E3A" w:rsidRPr="00BA51F1">
        <w:rPr>
          <w:lang w:val="en-US"/>
        </w:rPr>
        <w:t>Entrepreneurship at a Glance</w:t>
      </w:r>
      <w:r w:rsidR="008C7A93" w:rsidRPr="00BA51F1">
        <w:rPr>
          <w:lang w:val="en-US"/>
        </w:rPr>
        <w:t xml:space="preserve"> 2014</w:t>
      </w:r>
    </w:p>
    <w:p w:rsidR="008C7A93" w:rsidRPr="00DF1530" w:rsidRDefault="005836E9" w:rsidP="008C7A93">
      <w:pPr>
        <w:pStyle w:val="31"/>
        <w:rPr>
          <w:lang w:val="ru-RU"/>
        </w:rPr>
      </w:pPr>
      <w:r w:rsidRPr="00DF1530">
        <w:rPr>
          <w:lang w:val="ru-RU"/>
        </w:rPr>
        <w:lastRenderedPageBreak/>
        <w:t>Ключ</w:t>
      </w:r>
      <w:r w:rsidR="00981F69" w:rsidRPr="00DF1530">
        <w:rPr>
          <w:lang w:val="ru-RU"/>
        </w:rPr>
        <w:t>е</w:t>
      </w:r>
      <w:r w:rsidRPr="00DF1530">
        <w:rPr>
          <w:lang w:val="ru-RU"/>
        </w:rPr>
        <w:t>вая роль Внешэкономбанка</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202BA0" w:rsidRPr="00DF1530">
        <w:rPr>
          <w:lang w:val="ru-RU"/>
        </w:rPr>
        <w:t xml:space="preserve">Государственный банк развития </w:t>
      </w:r>
      <w:r w:rsidR="005836E9" w:rsidRPr="00DF1530">
        <w:rPr>
          <w:lang w:val="ru-RU"/>
        </w:rPr>
        <w:t>Внешэкономбанк</w:t>
      </w:r>
      <w:r w:rsidR="008C7A93" w:rsidRPr="00DF1530">
        <w:rPr>
          <w:lang w:val="ru-RU"/>
        </w:rPr>
        <w:t xml:space="preserve"> (</w:t>
      </w:r>
      <w:r w:rsidR="00202BA0" w:rsidRPr="00DF1530">
        <w:rPr>
          <w:lang w:val="ru-RU"/>
        </w:rPr>
        <w:t>ВЭБ</w:t>
      </w:r>
      <w:r w:rsidR="008C7A93" w:rsidRPr="00DF1530">
        <w:rPr>
          <w:lang w:val="ru-RU"/>
        </w:rPr>
        <w:t xml:space="preserve">) </w:t>
      </w:r>
      <w:r w:rsidR="00202BA0" w:rsidRPr="00DF1530">
        <w:rPr>
          <w:lang w:val="ru-RU"/>
        </w:rPr>
        <w:t xml:space="preserve">и его дочернее общество </w:t>
      </w:r>
      <w:r w:rsidR="00834072" w:rsidRPr="00DF1530">
        <w:rPr>
          <w:lang w:val="ru-RU"/>
        </w:rPr>
        <w:t>МСП</w:t>
      </w:r>
      <w:r w:rsidR="008C7A93" w:rsidRPr="00DF1530">
        <w:rPr>
          <w:lang w:val="ru-RU"/>
        </w:rPr>
        <w:t xml:space="preserve"> </w:t>
      </w:r>
      <w:r w:rsidR="00202BA0" w:rsidRPr="00DF1530">
        <w:rPr>
          <w:lang w:val="ru-RU"/>
        </w:rPr>
        <w:t xml:space="preserve">Банк играют важную роль в предоставлении </w:t>
      </w:r>
      <w:r w:rsidR="004A7BFD" w:rsidRPr="00DF1530">
        <w:rPr>
          <w:lang w:val="ru-RU"/>
        </w:rPr>
        <w:t>финансировани</w:t>
      </w:r>
      <w:r w:rsidR="00202BA0" w:rsidRPr="00DF1530">
        <w:rPr>
          <w:lang w:val="ru-RU"/>
        </w:rPr>
        <w:t>я</w:t>
      </w:r>
      <w:r w:rsidR="008C7A93" w:rsidRPr="00DF1530">
        <w:rPr>
          <w:lang w:val="ru-RU"/>
        </w:rPr>
        <w:t xml:space="preserve"> </w:t>
      </w:r>
      <w:r w:rsidR="00202BA0" w:rsidRPr="00DF1530">
        <w:rPr>
          <w:lang w:val="ru-RU"/>
        </w:rPr>
        <w:t xml:space="preserve">для </w:t>
      </w:r>
      <w:r w:rsidR="00BA1F08" w:rsidRPr="00DF1530">
        <w:rPr>
          <w:lang w:val="ru-RU"/>
        </w:rPr>
        <w:t>МСП и предпринимател</w:t>
      </w:r>
      <w:r w:rsidR="00202BA0" w:rsidRPr="00DF1530">
        <w:rPr>
          <w:lang w:val="ru-RU"/>
        </w:rPr>
        <w:t>ей</w:t>
      </w:r>
      <w:r w:rsidR="008C7A93" w:rsidRPr="00DF1530">
        <w:rPr>
          <w:lang w:val="ru-RU"/>
        </w:rPr>
        <w:t xml:space="preserve">. </w:t>
      </w:r>
      <w:r w:rsidR="00202BA0" w:rsidRPr="00DF1530">
        <w:rPr>
          <w:lang w:val="ru-RU"/>
        </w:rPr>
        <w:t>МСП Банк</w:t>
      </w:r>
      <w:r w:rsidR="008C7A93" w:rsidRPr="00DF1530">
        <w:rPr>
          <w:lang w:val="ru-RU"/>
        </w:rPr>
        <w:t xml:space="preserve"> </w:t>
      </w:r>
      <w:r w:rsidR="00202BA0" w:rsidRPr="00DF1530">
        <w:rPr>
          <w:lang w:val="ru-RU"/>
        </w:rPr>
        <w:t xml:space="preserve">предоставляет </w:t>
      </w:r>
      <w:r w:rsidR="004A7BFD" w:rsidRPr="00DF1530">
        <w:rPr>
          <w:lang w:val="ru-RU"/>
        </w:rPr>
        <w:t>финансирование</w:t>
      </w:r>
      <w:r w:rsidR="008C7A93" w:rsidRPr="00DF1530">
        <w:rPr>
          <w:lang w:val="ru-RU"/>
        </w:rPr>
        <w:t xml:space="preserve"> </w:t>
      </w:r>
      <w:r w:rsidR="00202BA0" w:rsidRPr="00DF1530">
        <w:rPr>
          <w:lang w:val="ru-RU"/>
        </w:rPr>
        <w:t xml:space="preserve">для кредитов для </w:t>
      </w:r>
      <w:r w:rsidR="00834072" w:rsidRPr="00DF1530">
        <w:rPr>
          <w:lang w:val="ru-RU"/>
        </w:rPr>
        <w:t>МСП</w:t>
      </w:r>
      <w:r w:rsidR="008C7A93" w:rsidRPr="00DF1530">
        <w:rPr>
          <w:lang w:val="ru-RU"/>
        </w:rPr>
        <w:t xml:space="preserve"> 134 </w:t>
      </w:r>
      <w:r w:rsidR="00202BA0" w:rsidRPr="00DF1530">
        <w:rPr>
          <w:lang w:val="ru-RU"/>
        </w:rPr>
        <w:t>банкам-партн</w:t>
      </w:r>
      <w:r w:rsidR="00BD465D" w:rsidRPr="00DF1530">
        <w:rPr>
          <w:lang w:val="ru-RU"/>
        </w:rPr>
        <w:t>е</w:t>
      </w:r>
      <w:r w:rsidR="00202BA0" w:rsidRPr="00DF1530">
        <w:rPr>
          <w:lang w:val="ru-RU"/>
        </w:rPr>
        <w:t xml:space="preserve">рам и </w:t>
      </w:r>
      <w:r w:rsidR="008C7A93" w:rsidRPr="00DF1530">
        <w:rPr>
          <w:lang w:val="ru-RU"/>
        </w:rPr>
        <w:t xml:space="preserve">141 </w:t>
      </w:r>
      <w:r w:rsidR="00202BA0" w:rsidRPr="00DF1530">
        <w:rPr>
          <w:lang w:val="ru-RU"/>
        </w:rPr>
        <w:t xml:space="preserve">небанковской </w:t>
      </w:r>
      <w:r w:rsidR="000105F1" w:rsidRPr="00DF1530">
        <w:rPr>
          <w:lang w:val="ru-RU"/>
        </w:rPr>
        <w:t>организации</w:t>
      </w:r>
      <w:r w:rsidR="008C7A93" w:rsidRPr="00DF1530">
        <w:rPr>
          <w:lang w:val="ru-RU"/>
        </w:rPr>
        <w:t xml:space="preserve">, </w:t>
      </w:r>
      <w:r w:rsidR="00202BA0" w:rsidRPr="00DF1530">
        <w:rPr>
          <w:lang w:val="ru-RU"/>
        </w:rPr>
        <w:t>которые принимают решение о кредитовании</w:t>
      </w:r>
      <w:r w:rsidR="008C7A93" w:rsidRPr="00DF1530">
        <w:rPr>
          <w:lang w:val="ru-RU"/>
        </w:rPr>
        <w:t xml:space="preserve">, </w:t>
      </w:r>
      <w:r w:rsidR="00202BA0" w:rsidRPr="00DF1530">
        <w:rPr>
          <w:lang w:val="ru-RU"/>
        </w:rPr>
        <w:t>и поддерживает ряд кредитных</w:t>
      </w:r>
      <w:r w:rsidR="008C7A93" w:rsidRPr="00DF1530">
        <w:rPr>
          <w:lang w:val="ru-RU"/>
        </w:rPr>
        <w:t xml:space="preserve">, </w:t>
      </w:r>
      <w:r w:rsidR="00202BA0" w:rsidRPr="00DF1530">
        <w:rPr>
          <w:lang w:val="ru-RU"/>
        </w:rPr>
        <w:t>лизинговых</w:t>
      </w:r>
      <w:r w:rsidR="008C7A93" w:rsidRPr="00DF1530">
        <w:rPr>
          <w:lang w:val="ru-RU"/>
        </w:rPr>
        <w:t xml:space="preserve">, </w:t>
      </w:r>
      <w:r w:rsidR="00202BA0" w:rsidRPr="00DF1530">
        <w:rPr>
          <w:lang w:val="ru-RU"/>
        </w:rPr>
        <w:t xml:space="preserve">факторинговых и </w:t>
      </w:r>
      <w:r w:rsidR="00494100" w:rsidRPr="00DF1530">
        <w:rPr>
          <w:lang w:val="ru-RU"/>
        </w:rPr>
        <w:t>микрофинанс</w:t>
      </w:r>
      <w:r w:rsidR="00202BA0" w:rsidRPr="00DF1530">
        <w:rPr>
          <w:lang w:val="ru-RU"/>
        </w:rPr>
        <w:t>овых продуктов банков</w:t>
      </w:r>
      <w:r w:rsidR="008C7A93" w:rsidRPr="00DF1530">
        <w:rPr>
          <w:lang w:val="ru-RU"/>
        </w:rPr>
        <w:t xml:space="preserve">. </w:t>
      </w:r>
      <w:r w:rsidR="00202BA0" w:rsidRPr="00DF1530">
        <w:rPr>
          <w:lang w:val="ru-RU"/>
        </w:rPr>
        <w:t>В действительности</w:t>
      </w:r>
      <w:r w:rsidR="008C7A93" w:rsidRPr="00DF1530">
        <w:rPr>
          <w:lang w:val="ru-RU"/>
        </w:rPr>
        <w:t xml:space="preserve">, </w:t>
      </w:r>
      <w:r w:rsidR="00202BA0" w:rsidRPr="00DF1530">
        <w:rPr>
          <w:lang w:val="ru-RU"/>
        </w:rPr>
        <w:t>МСП Банк</w:t>
      </w:r>
      <w:r w:rsidR="008C7A93" w:rsidRPr="00DF1530">
        <w:rPr>
          <w:lang w:val="ru-RU"/>
        </w:rPr>
        <w:t xml:space="preserve"> </w:t>
      </w:r>
      <w:r w:rsidR="00981F69" w:rsidRPr="00DF1530">
        <w:rPr>
          <w:lang w:val="ru-RU"/>
        </w:rPr>
        <w:t xml:space="preserve">является одним из нескольких активных банков, которые предоставляют </w:t>
      </w:r>
      <w:r w:rsidR="00834072" w:rsidRPr="00DF1530">
        <w:rPr>
          <w:lang w:val="ru-RU"/>
        </w:rPr>
        <w:t>МСП</w:t>
      </w:r>
      <w:r w:rsidR="008C7A93" w:rsidRPr="00DF1530">
        <w:rPr>
          <w:lang w:val="ru-RU"/>
        </w:rPr>
        <w:t xml:space="preserve"> </w:t>
      </w:r>
      <w:r w:rsidR="00981F69" w:rsidRPr="00DF1530">
        <w:rPr>
          <w:lang w:val="ru-RU"/>
        </w:rPr>
        <w:t xml:space="preserve">долгосрочные кредиты сроком более </w:t>
      </w:r>
      <w:r w:rsidR="008C7A93" w:rsidRPr="00DF1530">
        <w:rPr>
          <w:lang w:val="ru-RU"/>
        </w:rPr>
        <w:t xml:space="preserve">3 </w:t>
      </w:r>
      <w:r w:rsidR="00981F69" w:rsidRPr="00DF1530">
        <w:rPr>
          <w:lang w:val="ru-RU"/>
        </w:rPr>
        <w:t>лет</w:t>
      </w:r>
      <w:r w:rsidR="008C7A93" w:rsidRPr="00DF1530">
        <w:rPr>
          <w:lang w:val="ru-RU"/>
        </w:rPr>
        <w:t xml:space="preserve">, </w:t>
      </w:r>
      <w:r w:rsidR="00981F69" w:rsidRPr="00DF1530">
        <w:rPr>
          <w:lang w:val="ru-RU"/>
        </w:rPr>
        <w:t xml:space="preserve">на них приходится </w:t>
      </w:r>
      <w:r w:rsidR="008C7A93" w:rsidRPr="00DF1530">
        <w:rPr>
          <w:lang w:val="ru-RU"/>
        </w:rPr>
        <w:t xml:space="preserve">62% </w:t>
      </w:r>
      <w:r w:rsidR="00981F69" w:rsidRPr="00DF1530">
        <w:rPr>
          <w:lang w:val="ru-RU"/>
        </w:rPr>
        <w:t xml:space="preserve">выданных банковских кредитов с использованием финансирования от </w:t>
      </w:r>
      <w:r w:rsidR="00202BA0" w:rsidRPr="00DF1530">
        <w:rPr>
          <w:lang w:val="ru-RU"/>
        </w:rPr>
        <w:t>МСП Банк</w:t>
      </w:r>
      <w:r w:rsidR="00981F69" w:rsidRPr="00DF1530">
        <w:rPr>
          <w:lang w:val="ru-RU"/>
        </w:rPr>
        <w:t>а</w:t>
      </w:r>
      <w:r w:rsidR="008C7A93" w:rsidRPr="00DF1530">
        <w:rPr>
          <w:lang w:val="ru-RU"/>
        </w:rPr>
        <w:t xml:space="preserve">. </w:t>
      </w:r>
      <w:r w:rsidR="007C68D2" w:rsidRPr="00DF1530">
        <w:rPr>
          <w:lang w:val="ru-RU"/>
        </w:rPr>
        <w:t>Однако</w:t>
      </w:r>
      <w:r w:rsidR="008C7A93" w:rsidRPr="00DF1530">
        <w:rPr>
          <w:lang w:val="ru-RU"/>
        </w:rPr>
        <w:t xml:space="preserve"> </w:t>
      </w:r>
      <w:r w:rsidR="00981F69" w:rsidRPr="00DF1530">
        <w:rPr>
          <w:lang w:val="ru-RU"/>
        </w:rPr>
        <w:t>многие государственные финансовые организации в других странах</w:t>
      </w:r>
      <w:r w:rsidR="008C7A93" w:rsidRPr="00DF1530">
        <w:rPr>
          <w:lang w:val="ru-RU"/>
        </w:rPr>
        <w:t xml:space="preserve"> </w:t>
      </w:r>
      <w:r w:rsidR="00981F69" w:rsidRPr="00DF1530">
        <w:rPr>
          <w:lang w:val="ru-RU"/>
        </w:rPr>
        <w:t xml:space="preserve">предлагают более широкий спектр финансовых и нефинансовых продуктов, чем </w:t>
      </w:r>
      <w:r w:rsidR="00202BA0" w:rsidRPr="00DF1530">
        <w:rPr>
          <w:lang w:val="ru-RU"/>
        </w:rPr>
        <w:t>МСП Банк</w:t>
      </w:r>
      <w:r w:rsidR="008C7A93" w:rsidRPr="00DF1530">
        <w:rPr>
          <w:lang w:val="ru-RU"/>
        </w:rPr>
        <w:t xml:space="preserve"> </w:t>
      </w:r>
      <w:r w:rsidR="00981F69" w:rsidRPr="00DF1530">
        <w:rPr>
          <w:lang w:val="ru-RU"/>
        </w:rPr>
        <w:t xml:space="preserve">и </w:t>
      </w:r>
      <w:r w:rsidR="00202BA0" w:rsidRPr="00DF1530">
        <w:rPr>
          <w:lang w:val="ru-RU"/>
        </w:rPr>
        <w:t>ВЭБ</w:t>
      </w:r>
      <w:r w:rsidR="00981F69" w:rsidRPr="00DF1530">
        <w:rPr>
          <w:lang w:val="ru-RU"/>
        </w:rPr>
        <w:t>,</w:t>
      </w:r>
      <w:r w:rsidR="008C7A93" w:rsidRPr="00DF1530">
        <w:rPr>
          <w:lang w:val="ru-RU"/>
        </w:rPr>
        <w:t xml:space="preserve"> </w:t>
      </w:r>
      <w:r w:rsidR="00981F69" w:rsidRPr="00DF1530">
        <w:rPr>
          <w:lang w:val="ru-RU"/>
        </w:rPr>
        <w:t xml:space="preserve">и расширение деятельности этих банков развития </w:t>
      </w:r>
      <w:r w:rsidR="00834072" w:rsidRPr="00DF1530">
        <w:rPr>
          <w:lang w:val="ru-RU"/>
        </w:rPr>
        <w:t>в Российской Федерации</w:t>
      </w:r>
      <w:r w:rsidR="008C7A93" w:rsidRPr="00DF1530">
        <w:rPr>
          <w:lang w:val="ru-RU"/>
        </w:rPr>
        <w:t xml:space="preserve"> </w:t>
      </w:r>
      <w:r w:rsidR="00981F69" w:rsidRPr="00DF1530">
        <w:rPr>
          <w:lang w:val="ru-RU"/>
        </w:rPr>
        <w:t xml:space="preserve">может значительно ускорить развитие более глубокого и сложного рынка финансирования </w:t>
      </w:r>
      <w:r w:rsidR="003F5CB4" w:rsidRPr="00DF1530">
        <w:rPr>
          <w:lang w:val="ru-RU"/>
        </w:rPr>
        <w:t>МСП и предпринимательск</w:t>
      </w:r>
      <w:r w:rsidR="00981F69" w:rsidRPr="00DF1530">
        <w:rPr>
          <w:lang w:val="ru-RU"/>
        </w:rPr>
        <w:t>ой</w:t>
      </w:r>
      <w:r w:rsidR="003F5CB4" w:rsidRPr="00DF1530">
        <w:rPr>
          <w:lang w:val="ru-RU"/>
        </w:rPr>
        <w:t xml:space="preserve"> деятельност</w:t>
      </w:r>
      <w:r w:rsidR="00981F69" w:rsidRPr="00DF1530">
        <w:rPr>
          <w:lang w:val="ru-RU"/>
        </w:rPr>
        <w:t>и</w:t>
      </w:r>
      <w:r w:rsidR="008C7A93" w:rsidRPr="00DF1530">
        <w:rPr>
          <w:lang w:val="ru-RU"/>
        </w:rPr>
        <w:t xml:space="preserve">. </w:t>
      </w:r>
    </w:p>
    <w:p w:rsidR="008C7A93" w:rsidRPr="00DF1530" w:rsidRDefault="00533D94" w:rsidP="008C7A93">
      <w:pPr>
        <w:pStyle w:val="31"/>
        <w:rPr>
          <w:lang w:val="ru-RU"/>
        </w:rPr>
      </w:pPr>
      <w:r w:rsidRPr="00DF1530">
        <w:rPr>
          <w:lang w:val="ru-RU"/>
        </w:rPr>
        <w:t>Основные рекомендации в области политики</w:t>
      </w:r>
      <w:r w:rsidR="008C7A93" w:rsidRPr="00DF1530">
        <w:rPr>
          <w:lang w:val="ru-RU"/>
        </w:rPr>
        <w:t xml:space="preserve"> </w:t>
      </w:r>
      <w:r w:rsidR="00EB7266" w:rsidRPr="00DF1530">
        <w:rPr>
          <w:lang w:val="ru-RU"/>
        </w:rPr>
        <w:t xml:space="preserve">по финансированию </w:t>
      </w:r>
      <w:r w:rsidR="003F5CB4" w:rsidRPr="00DF1530">
        <w:rPr>
          <w:lang w:val="ru-RU"/>
        </w:rPr>
        <w:t>МСП и предпринимательск</w:t>
      </w:r>
      <w:r w:rsidR="00EB7266" w:rsidRPr="00DF1530">
        <w:rPr>
          <w:lang w:val="ru-RU"/>
        </w:rPr>
        <w:t>ой</w:t>
      </w:r>
      <w:r w:rsidR="003F5CB4" w:rsidRPr="00DF1530">
        <w:rPr>
          <w:lang w:val="ru-RU"/>
        </w:rPr>
        <w:t xml:space="preserve"> деятельност</w:t>
      </w:r>
      <w:r w:rsidR="00EB7266" w:rsidRPr="00DF1530">
        <w:rPr>
          <w:lang w:val="ru-RU"/>
        </w:rPr>
        <w:t>и</w:t>
      </w:r>
      <w:r w:rsidR="008C7A93" w:rsidRPr="00DF1530">
        <w:rPr>
          <w:lang w:val="ru-RU"/>
        </w:rPr>
        <w:t xml:space="preserve"> </w:t>
      </w:r>
    </w:p>
    <w:p w:rsidR="008C7A93" w:rsidRPr="00DF1530" w:rsidRDefault="008A6C6F" w:rsidP="008C7A93">
      <w:pPr>
        <w:pStyle w:val="Num-DocParagraph"/>
        <w:rPr>
          <w:lang w:val="ru-RU"/>
        </w:rPr>
      </w:pPr>
      <w:r w:rsidRPr="00DF1530">
        <w:rPr>
          <w:lang w:val="ru-RU"/>
        </w:rPr>
        <w:t>Предлагаются н</w:t>
      </w:r>
      <w:r w:rsidR="004F3F5F" w:rsidRPr="00DF1530">
        <w:rPr>
          <w:lang w:val="ru-RU"/>
        </w:rPr>
        <w:t>ижеследующие</w:t>
      </w:r>
      <w:r w:rsidR="008C7A93" w:rsidRPr="00DF1530">
        <w:rPr>
          <w:lang w:val="ru-RU"/>
        </w:rPr>
        <w:t xml:space="preserve"> </w:t>
      </w:r>
      <w:r w:rsidR="005E53F2" w:rsidRPr="00DF1530">
        <w:rPr>
          <w:lang w:val="ru-RU"/>
        </w:rPr>
        <w:t>рекомендации</w:t>
      </w:r>
      <w:r w:rsidR="008C7A93" w:rsidRPr="00DF1530">
        <w:rPr>
          <w:lang w:val="ru-RU"/>
        </w:rPr>
        <w:t xml:space="preserve"> </w:t>
      </w:r>
      <w:r w:rsidRPr="00DF1530">
        <w:rPr>
          <w:lang w:val="ru-RU"/>
        </w:rPr>
        <w:t xml:space="preserve">по улучшению финансирования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00834072" w:rsidRPr="00DF1530">
        <w:rPr>
          <w:lang w:val="ru-RU"/>
        </w:rPr>
        <w:t>в Российской Федерации</w:t>
      </w:r>
      <w:r w:rsidR="008C7A93" w:rsidRPr="00DF1530">
        <w:rPr>
          <w:lang w:val="ru-RU"/>
        </w:rPr>
        <w:t xml:space="preserve">:  </w:t>
      </w:r>
    </w:p>
    <w:p w:rsidR="008C7A93" w:rsidRPr="00DF1530" w:rsidRDefault="00592C49" w:rsidP="008C7A93">
      <w:pPr>
        <w:pStyle w:val="a"/>
        <w:rPr>
          <w:lang w:val="ru-RU"/>
        </w:rPr>
      </w:pPr>
      <w:bookmarkStart w:id="103" w:name="_Toc369561408"/>
      <w:bookmarkStart w:id="104" w:name="_Toc369603441"/>
      <w:bookmarkStart w:id="105" w:name="_Toc369603712"/>
      <w:bookmarkStart w:id="106" w:name="_Toc369604127"/>
      <w:bookmarkStart w:id="107" w:name="_Toc369607797"/>
      <w:bookmarkStart w:id="108" w:name="_Toc369607992"/>
      <w:bookmarkStart w:id="109" w:name="_Toc369609372"/>
      <w:bookmarkStart w:id="110" w:name="_Toc369609965"/>
      <w:bookmarkStart w:id="111" w:name="_Toc369614578"/>
      <w:bookmarkStart w:id="112" w:name="_Toc369614752"/>
      <w:bookmarkStart w:id="113" w:name="_Toc369614932"/>
      <w:bookmarkStart w:id="114" w:name="_Toc369616484"/>
      <w:bookmarkStart w:id="115" w:name="_Toc369682535"/>
      <w:bookmarkStart w:id="116" w:name="_Toc369709748"/>
      <w:r w:rsidRPr="00DF1530">
        <w:rPr>
          <w:lang w:val="ru-RU"/>
        </w:rPr>
        <w:t xml:space="preserve">Обеспечить лучшие условия для проникновения на рынок и конкуренции среди банков и долгосрочное сокращение </w:t>
      </w:r>
      <w:r w:rsidR="000D5BD8" w:rsidRPr="00DF1530">
        <w:rPr>
          <w:lang w:val="ru-RU"/>
        </w:rPr>
        <w:t>государственн</w:t>
      </w:r>
      <w:r w:rsidRPr="00DF1530">
        <w:rPr>
          <w:lang w:val="ru-RU"/>
        </w:rPr>
        <w:t>ого</w:t>
      </w:r>
      <w:r w:rsidR="000D5BD8" w:rsidRPr="00DF1530">
        <w:rPr>
          <w:lang w:val="ru-RU"/>
        </w:rPr>
        <w:t xml:space="preserve"> контрол</w:t>
      </w:r>
      <w:r w:rsidRPr="00DF1530">
        <w:rPr>
          <w:lang w:val="ru-RU"/>
        </w:rPr>
        <w:t>я</w:t>
      </w:r>
      <w:r w:rsidR="008C7A93" w:rsidRPr="00DF1530">
        <w:rPr>
          <w:lang w:val="ru-RU"/>
        </w:rPr>
        <w:t xml:space="preserve"> </w:t>
      </w:r>
      <w:r w:rsidRPr="00DF1530">
        <w:rPr>
          <w:lang w:val="ru-RU"/>
        </w:rPr>
        <w:t xml:space="preserve">в </w:t>
      </w:r>
      <w:r w:rsidR="003E7B9B" w:rsidRPr="00DF1530">
        <w:rPr>
          <w:lang w:val="ru-RU"/>
        </w:rPr>
        <w:t>банковск</w:t>
      </w:r>
      <w:r w:rsidRPr="00DF1530">
        <w:rPr>
          <w:lang w:val="ru-RU"/>
        </w:rPr>
        <w:t>ом</w:t>
      </w:r>
      <w:r w:rsidR="003E7B9B" w:rsidRPr="00DF1530">
        <w:rPr>
          <w:lang w:val="ru-RU"/>
        </w:rPr>
        <w:t xml:space="preserve"> сектор</w:t>
      </w:r>
      <w:r w:rsidRPr="00DF1530">
        <w:rPr>
          <w:lang w:val="ru-RU"/>
        </w:rPr>
        <w:t>е</w:t>
      </w:r>
      <w:r w:rsidR="008C7A93" w:rsidRPr="00DF1530">
        <w:rPr>
          <w:lang w:val="ru-RU"/>
        </w:rPr>
        <w:t xml:space="preserve">. </w:t>
      </w:r>
    </w:p>
    <w:p w:rsidR="008C7A93" w:rsidRPr="00DF1530" w:rsidRDefault="006A2973" w:rsidP="008C7A93">
      <w:pPr>
        <w:pStyle w:val="a"/>
        <w:rPr>
          <w:lang w:val="ru-RU"/>
        </w:rPr>
      </w:pPr>
      <w:r w:rsidRPr="00DF1530">
        <w:rPr>
          <w:lang w:val="ru-RU"/>
        </w:rPr>
        <w:t xml:space="preserve">Создать межбанковский рынок кредитования МСП для повышения способности банков рефинансировать долгосрочные кредиты для </w:t>
      </w:r>
      <w:r w:rsidR="00F736B7" w:rsidRPr="00DF1530">
        <w:rPr>
          <w:lang w:val="ru-RU"/>
        </w:rPr>
        <w:t>МСП</w:t>
      </w:r>
      <w:r w:rsidR="008C7A93" w:rsidRPr="00DF1530">
        <w:rPr>
          <w:lang w:val="ru-RU"/>
        </w:rPr>
        <w:t xml:space="preserve">, </w:t>
      </w:r>
      <w:r w:rsidR="00297F6F" w:rsidRPr="00DF1530">
        <w:rPr>
          <w:lang w:val="ru-RU"/>
        </w:rPr>
        <w:t>в</w:t>
      </w:r>
      <w:r w:rsidRPr="00DF1530">
        <w:rPr>
          <w:lang w:val="ru-RU"/>
        </w:rPr>
        <w:t xml:space="preserve"> том числе путем большей стандартизации кредитных соглашений и принятия </w:t>
      </w:r>
      <w:r w:rsidR="00ED6915" w:rsidRPr="00DF1530">
        <w:rPr>
          <w:lang w:val="ru-RU"/>
        </w:rPr>
        <w:t>законодательств</w:t>
      </w:r>
      <w:r w:rsidRPr="00DF1530">
        <w:rPr>
          <w:lang w:val="ru-RU"/>
        </w:rPr>
        <w:t>а</w:t>
      </w:r>
      <w:r w:rsidR="008C7A93" w:rsidRPr="00DF1530">
        <w:rPr>
          <w:lang w:val="ru-RU"/>
        </w:rPr>
        <w:t xml:space="preserve"> </w:t>
      </w:r>
      <w:r w:rsidRPr="00DF1530">
        <w:rPr>
          <w:lang w:val="ru-RU"/>
        </w:rPr>
        <w:t>о секьюритизации</w:t>
      </w:r>
      <w:r w:rsidR="008C7A93" w:rsidRPr="00DF1530">
        <w:rPr>
          <w:lang w:val="ru-RU"/>
        </w:rPr>
        <w:t xml:space="preserve">.  </w:t>
      </w:r>
    </w:p>
    <w:p w:rsidR="008C7A93" w:rsidRPr="00DF1530" w:rsidRDefault="009738F5" w:rsidP="008C7A93">
      <w:pPr>
        <w:pStyle w:val="a"/>
        <w:rPr>
          <w:lang w:val="ru-RU"/>
        </w:rPr>
      </w:pPr>
      <w:r w:rsidRPr="00DF1530">
        <w:rPr>
          <w:lang w:val="ru-RU"/>
        </w:rPr>
        <w:t xml:space="preserve">Расширить </w:t>
      </w:r>
      <w:r w:rsidR="0023536F" w:rsidRPr="00DF1530">
        <w:rPr>
          <w:lang w:val="ru-RU"/>
        </w:rPr>
        <w:t>программы</w:t>
      </w:r>
      <w:r w:rsidR="008C7A93" w:rsidRPr="00DF1530">
        <w:rPr>
          <w:lang w:val="ru-RU"/>
        </w:rPr>
        <w:t xml:space="preserve"> </w:t>
      </w:r>
      <w:r w:rsidRPr="00DF1530">
        <w:rPr>
          <w:lang w:val="ru-RU"/>
        </w:rPr>
        <w:t xml:space="preserve">кредитных гарантий путем перенаправления государственных ресурсов с </w:t>
      </w:r>
      <w:r w:rsidR="00E57A1C" w:rsidRPr="00DF1530">
        <w:rPr>
          <w:lang w:val="ru-RU"/>
        </w:rPr>
        <w:t>поддержк</w:t>
      </w:r>
      <w:r w:rsidRPr="00DF1530">
        <w:rPr>
          <w:lang w:val="ru-RU"/>
        </w:rPr>
        <w:t>и</w:t>
      </w:r>
      <w:r w:rsidR="008C7A93" w:rsidRPr="00DF1530">
        <w:rPr>
          <w:lang w:val="ru-RU"/>
        </w:rPr>
        <w:t xml:space="preserve"> </w:t>
      </w:r>
      <w:r w:rsidR="008353AD" w:rsidRPr="00DF1530">
        <w:rPr>
          <w:lang w:val="ru-RU"/>
        </w:rPr>
        <w:t>грант</w:t>
      </w:r>
      <w:r w:rsidRPr="00DF1530">
        <w:rPr>
          <w:lang w:val="ru-RU"/>
        </w:rPr>
        <w:t xml:space="preserve">ов и кредитов на кредитные гарантии и повысить консолидацию </w:t>
      </w:r>
      <w:r w:rsidR="0073200F" w:rsidRPr="00DF1530">
        <w:rPr>
          <w:lang w:val="ru-RU"/>
        </w:rPr>
        <w:t>небольших региональных фондов</w:t>
      </w:r>
      <w:r w:rsidR="008C7A93" w:rsidRPr="00DF1530">
        <w:rPr>
          <w:lang w:val="ru-RU"/>
        </w:rPr>
        <w:t xml:space="preserve">. </w:t>
      </w:r>
      <w:r w:rsidR="0073200F" w:rsidRPr="00DF1530">
        <w:rPr>
          <w:lang w:val="ru-RU"/>
        </w:rPr>
        <w:t xml:space="preserve">Пересмотреть характеристики этих </w:t>
      </w:r>
      <w:r w:rsidR="0023536F" w:rsidRPr="00DF1530">
        <w:rPr>
          <w:lang w:val="ru-RU"/>
        </w:rPr>
        <w:t>программ</w:t>
      </w:r>
      <w:r w:rsidR="008C7A93" w:rsidRPr="00DF1530">
        <w:rPr>
          <w:lang w:val="ru-RU"/>
        </w:rPr>
        <w:t xml:space="preserve"> </w:t>
      </w:r>
      <w:r w:rsidR="0073200F" w:rsidRPr="00DF1530">
        <w:rPr>
          <w:lang w:val="ru-RU"/>
        </w:rPr>
        <w:t>с целью повышения финансовой</w:t>
      </w:r>
      <w:r w:rsidR="008C7A93" w:rsidRPr="00DF1530">
        <w:rPr>
          <w:lang w:val="ru-RU"/>
        </w:rPr>
        <w:t xml:space="preserve"> </w:t>
      </w:r>
      <w:r w:rsidR="0073200F" w:rsidRPr="00DF1530">
        <w:rPr>
          <w:lang w:val="ru-RU"/>
        </w:rPr>
        <w:t>устойчивости и взаимодополняемости предоставляемых кредитов</w:t>
      </w:r>
      <w:r w:rsidR="008C7A93" w:rsidRPr="00DF1530">
        <w:rPr>
          <w:lang w:val="ru-RU"/>
        </w:rPr>
        <w:t xml:space="preserve">, </w:t>
      </w:r>
      <w:r w:rsidR="00297F6F" w:rsidRPr="00DF1530">
        <w:rPr>
          <w:lang w:val="ru-RU"/>
        </w:rPr>
        <w:t>включая</w:t>
      </w:r>
      <w:r w:rsidR="008C7A93" w:rsidRPr="00DF1530">
        <w:rPr>
          <w:lang w:val="ru-RU"/>
        </w:rPr>
        <w:t xml:space="preserve"> </w:t>
      </w:r>
      <w:r w:rsidR="0073200F" w:rsidRPr="00DF1530">
        <w:rPr>
          <w:lang w:val="ru-RU"/>
        </w:rPr>
        <w:t>пересмотр критериев приемлемости</w:t>
      </w:r>
      <w:r w:rsidR="008C7A93" w:rsidRPr="00DF1530">
        <w:rPr>
          <w:lang w:val="ru-RU"/>
        </w:rPr>
        <w:t xml:space="preserve">, </w:t>
      </w:r>
      <w:r w:rsidR="0073200F" w:rsidRPr="00DF1530">
        <w:rPr>
          <w:lang w:val="ru-RU"/>
        </w:rPr>
        <w:t>долю гарантированных кредитов</w:t>
      </w:r>
      <w:r w:rsidR="008C7A93" w:rsidRPr="00DF1530">
        <w:rPr>
          <w:lang w:val="ru-RU"/>
        </w:rPr>
        <w:t xml:space="preserve">, </w:t>
      </w:r>
      <w:r w:rsidR="0073200F" w:rsidRPr="00DF1530">
        <w:rPr>
          <w:lang w:val="ru-RU"/>
        </w:rPr>
        <w:t>взимаемые комиссионные</w:t>
      </w:r>
      <w:r w:rsidR="008C7A93" w:rsidRPr="00DF1530">
        <w:rPr>
          <w:lang w:val="ru-RU"/>
        </w:rPr>
        <w:t xml:space="preserve">, </w:t>
      </w:r>
      <w:r w:rsidR="0073200F" w:rsidRPr="00DF1530">
        <w:rPr>
          <w:lang w:val="ru-RU"/>
        </w:rPr>
        <w:t>перестраховываются ли гарантии</w:t>
      </w:r>
      <w:r w:rsidR="008C7A93" w:rsidRPr="00DF1530">
        <w:rPr>
          <w:lang w:val="ru-RU"/>
        </w:rPr>
        <w:t xml:space="preserve">, </w:t>
      </w:r>
      <w:r w:rsidR="0073200F" w:rsidRPr="00DF1530">
        <w:rPr>
          <w:lang w:val="ru-RU"/>
        </w:rPr>
        <w:t>степень участия гаранта в принятии решения о предоставлении кредита</w:t>
      </w:r>
      <w:r w:rsidR="008C7A93" w:rsidRPr="00DF1530">
        <w:rPr>
          <w:lang w:val="ru-RU"/>
        </w:rPr>
        <w:t xml:space="preserve">, </w:t>
      </w:r>
      <w:r w:rsidR="0073200F" w:rsidRPr="00DF1530">
        <w:rPr>
          <w:lang w:val="ru-RU"/>
        </w:rPr>
        <w:t>а также наличие заранее определенного гарантийного фонда или предоставление финансирования на постоянной основе</w:t>
      </w:r>
      <w:r w:rsidR="008C7A93" w:rsidRPr="00DF1530">
        <w:rPr>
          <w:lang w:val="ru-RU"/>
        </w:rPr>
        <w:t xml:space="preserve">. </w:t>
      </w:r>
    </w:p>
    <w:p w:rsidR="008C7A93" w:rsidRPr="00DF1530" w:rsidRDefault="002E60CB" w:rsidP="008C7A93">
      <w:pPr>
        <w:pStyle w:val="a"/>
        <w:rPr>
          <w:lang w:val="ru-RU"/>
        </w:rPr>
      </w:pPr>
      <w:r w:rsidRPr="00DF1530">
        <w:rPr>
          <w:lang w:val="ru-RU"/>
        </w:rPr>
        <w:t xml:space="preserve">Создать </w:t>
      </w:r>
      <w:r w:rsidR="0010795B" w:rsidRPr="00DF1530">
        <w:rPr>
          <w:lang w:val="ru-RU"/>
        </w:rPr>
        <w:t>национальн</w:t>
      </w:r>
      <w:r w:rsidRPr="00DF1530">
        <w:rPr>
          <w:lang w:val="ru-RU"/>
        </w:rPr>
        <w:t>ую</w:t>
      </w:r>
      <w:r w:rsidR="008C7A93" w:rsidRPr="00DF1530">
        <w:rPr>
          <w:lang w:val="ru-RU"/>
        </w:rPr>
        <w:t xml:space="preserve"> </w:t>
      </w:r>
      <w:r w:rsidRPr="00DF1530">
        <w:rPr>
          <w:lang w:val="ru-RU"/>
        </w:rPr>
        <w:t xml:space="preserve">систему кредитной </w:t>
      </w:r>
      <w:r w:rsidR="0023536F" w:rsidRPr="00DF1530">
        <w:rPr>
          <w:lang w:val="ru-RU"/>
        </w:rPr>
        <w:t>информаци</w:t>
      </w:r>
      <w:r w:rsidRPr="00DF1530">
        <w:rPr>
          <w:lang w:val="ru-RU"/>
        </w:rPr>
        <w:t>и,</w:t>
      </w:r>
      <w:r w:rsidR="008C7A93" w:rsidRPr="00DF1530">
        <w:rPr>
          <w:lang w:val="ru-RU"/>
        </w:rPr>
        <w:t xml:space="preserve"> </w:t>
      </w:r>
      <w:r w:rsidR="00C94876" w:rsidRPr="00DF1530">
        <w:rPr>
          <w:lang w:val="ru-RU"/>
        </w:rPr>
        <w:t xml:space="preserve">позволяющую всем участникам рынка финансирования </w:t>
      </w:r>
      <w:r w:rsidR="00834072" w:rsidRPr="00DF1530">
        <w:rPr>
          <w:lang w:val="ru-RU"/>
        </w:rPr>
        <w:t>МСП</w:t>
      </w:r>
      <w:r w:rsidR="008C7A93" w:rsidRPr="00DF1530">
        <w:rPr>
          <w:lang w:val="ru-RU"/>
        </w:rPr>
        <w:t xml:space="preserve"> </w:t>
      </w:r>
      <w:r w:rsidR="00C94876" w:rsidRPr="00DF1530">
        <w:rPr>
          <w:lang w:val="ru-RU"/>
        </w:rPr>
        <w:t>отслеживать и оценивать риски индивидуальных заемщиков и предприятий на основе их кредитной истории и других параметров</w:t>
      </w:r>
      <w:r w:rsidR="008C7A93" w:rsidRPr="00DF1530">
        <w:rPr>
          <w:lang w:val="ru-RU"/>
        </w:rPr>
        <w:t xml:space="preserve">. </w:t>
      </w:r>
      <w:r w:rsidR="00AA7FCB" w:rsidRPr="00DF1530">
        <w:rPr>
          <w:lang w:val="ru-RU"/>
        </w:rPr>
        <w:t xml:space="preserve">Потребовать, чтобы связанные с государством кредитные </w:t>
      </w:r>
      <w:r w:rsidR="000105F1" w:rsidRPr="00DF1530">
        <w:rPr>
          <w:lang w:val="ru-RU"/>
        </w:rPr>
        <w:t>организации</w:t>
      </w:r>
      <w:r w:rsidR="008C7A93" w:rsidRPr="00DF1530">
        <w:rPr>
          <w:lang w:val="ru-RU"/>
        </w:rPr>
        <w:t xml:space="preserve"> (</w:t>
      </w:r>
      <w:r w:rsidR="00AA7FCB" w:rsidRPr="00DF1530">
        <w:rPr>
          <w:lang w:val="ru-RU"/>
        </w:rPr>
        <w:t>государственные банки</w:t>
      </w:r>
      <w:r w:rsidR="008C7A93" w:rsidRPr="00DF1530">
        <w:rPr>
          <w:lang w:val="ru-RU"/>
        </w:rPr>
        <w:t xml:space="preserve">, </w:t>
      </w:r>
      <w:r w:rsidR="00AA7FCB" w:rsidRPr="00DF1530">
        <w:rPr>
          <w:lang w:val="ru-RU"/>
        </w:rPr>
        <w:t>микрофинансовые организации</w:t>
      </w:r>
      <w:r w:rsidR="008C7A93" w:rsidRPr="00DF1530">
        <w:rPr>
          <w:lang w:val="ru-RU"/>
        </w:rPr>
        <w:t xml:space="preserve"> </w:t>
      </w:r>
      <w:r w:rsidR="00AA7FCB" w:rsidRPr="00DF1530">
        <w:rPr>
          <w:lang w:val="ru-RU"/>
        </w:rPr>
        <w:t>и программы кредитных гарантий</w:t>
      </w:r>
      <w:r w:rsidR="008C7A93" w:rsidRPr="00DF1530">
        <w:rPr>
          <w:lang w:val="ru-RU"/>
        </w:rPr>
        <w:t xml:space="preserve">) </w:t>
      </w:r>
      <w:r w:rsidR="00AA7FCB" w:rsidRPr="00DF1530">
        <w:rPr>
          <w:lang w:val="ru-RU"/>
        </w:rPr>
        <w:t xml:space="preserve">передавали кредитную </w:t>
      </w:r>
      <w:r w:rsidR="0023536F" w:rsidRPr="00DF1530">
        <w:rPr>
          <w:lang w:val="ru-RU"/>
        </w:rPr>
        <w:t>информаци</w:t>
      </w:r>
      <w:r w:rsidR="00AA7FCB" w:rsidRPr="00DF1530">
        <w:rPr>
          <w:lang w:val="ru-RU"/>
        </w:rPr>
        <w:t>ю</w:t>
      </w:r>
      <w:r w:rsidR="008C7A93" w:rsidRPr="00DF1530">
        <w:rPr>
          <w:lang w:val="ru-RU"/>
        </w:rPr>
        <w:t xml:space="preserve"> </w:t>
      </w:r>
      <w:r w:rsidR="00AA7FCB" w:rsidRPr="00DF1530">
        <w:rPr>
          <w:lang w:val="ru-RU"/>
        </w:rPr>
        <w:t xml:space="preserve">в промежуточную организацию кредитной </w:t>
      </w:r>
      <w:r w:rsidR="0023536F" w:rsidRPr="00DF1530">
        <w:rPr>
          <w:lang w:val="ru-RU"/>
        </w:rPr>
        <w:t>информаци</w:t>
      </w:r>
      <w:r w:rsidR="00AA7FCB" w:rsidRPr="00DF1530">
        <w:rPr>
          <w:lang w:val="ru-RU"/>
        </w:rPr>
        <w:t>и</w:t>
      </w:r>
      <w:r w:rsidR="008C7A93" w:rsidRPr="00DF1530">
        <w:rPr>
          <w:lang w:val="ru-RU"/>
        </w:rPr>
        <w:t xml:space="preserve"> </w:t>
      </w:r>
      <w:r w:rsidR="00AA7FCB" w:rsidRPr="00DF1530">
        <w:rPr>
          <w:lang w:val="ru-RU"/>
        </w:rPr>
        <w:t>и обменивались полученной базой данных с частными банками на безвозмездной основе</w:t>
      </w:r>
      <w:r w:rsidR="008C7A93" w:rsidRPr="00DF1530">
        <w:rPr>
          <w:lang w:val="ru-RU"/>
        </w:rPr>
        <w:t xml:space="preserve">. </w:t>
      </w:r>
      <w:r w:rsidR="00AA7FCB" w:rsidRPr="00DF1530">
        <w:rPr>
          <w:lang w:val="ru-RU"/>
        </w:rPr>
        <w:t>В долгосрочном плане</w:t>
      </w:r>
      <w:r w:rsidR="008C7A93" w:rsidRPr="00DF1530">
        <w:rPr>
          <w:lang w:val="ru-RU"/>
        </w:rPr>
        <w:t xml:space="preserve"> </w:t>
      </w:r>
      <w:r w:rsidR="00AA7FCB" w:rsidRPr="00DF1530">
        <w:rPr>
          <w:lang w:val="ru-RU"/>
        </w:rPr>
        <w:t xml:space="preserve">содействовать созданию одного или нескольких частных бюро кредитной информации для распространения этой </w:t>
      </w:r>
      <w:r w:rsidR="0023536F" w:rsidRPr="00DF1530">
        <w:rPr>
          <w:lang w:val="ru-RU"/>
        </w:rPr>
        <w:t>информаци</w:t>
      </w:r>
      <w:r w:rsidR="00AA7FCB" w:rsidRPr="00DF1530">
        <w:rPr>
          <w:lang w:val="ru-RU"/>
        </w:rPr>
        <w:t>и</w:t>
      </w:r>
      <w:r w:rsidR="008C7A93" w:rsidRPr="00DF1530">
        <w:rPr>
          <w:lang w:val="ru-RU"/>
        </w:rPr>
        <w:t xml:space="preserve">. </w:t>
      </w:r>
    </w:p>
    <w:p w:rsidR="008C7A93" w:rsidRPr="00DF1530" w:rsidRDefault="00356987" w:rsidP="008C7A93">
      <w:pPr>
        <w:pStyle w:val="a"/>
        <w:rPr>
          <w:lang w:val="ru-RU"/>
        </w:rPr>
      </w:pPr>
      <w:r w:rsidRPr="00DF1530">
        <w:rPr>
          <w:lang w:val="ru-RU"/>
        </w:rPr>
        <w:lastRenderedPageBreak/>
        <w:t xml:space="preserve">Усилить регулирование сектора микрофинансирования, </w:t>
      </w:r>
      <w:r w:rsidR="00297F6F" w:rsidRPr="00DF1530">
        <w:rPr>
          <w:lang w:val="ru-RU"/>
        </w:rPr>
        <w:t>включая</w:t>
      </w:r>
      <w:r w:rsidR="008C7A93" w:rsidRPr="00DF1530">
        <w:rPr>
          <w:lang w:val="ru-RU"/>
        </w:rPr>
        <w:t xml:space="preserve"> </w:t>
      </w:r>
      <w:r w:rsidRPr="00DF1530">
        <w:rPr>
          <w:lang w:val="ru-RU"/>
        </w:rPr>
        <w:t>меры по отчетности и надзору, чтобы помочь заемщикам</w:t>
      </w:r>
      <w:r w:rsidR="008C7A93" w:rsidRPr="00DF1530">
        <w:rPr>
          <w:lang w:val="ru-RU"/>
        </w:rPr>
        <w:t xml:space="preserve"> </w:t>
      </w:r>
      <w:r w:rsidRPr="00DF1530">
        <w:rPr>
          <w:lang w:val="ru-RU"/>
        </w:rPr>
        <w:t xml:space="preserve">отличить кредиторов с посуточной оплатой кредита от ответственных организаций, такие, как отдельная регистрация кредиторов с посуточной оплатой кредита в государственном реестре </w:t>
      </w:r>
      <w:r w:rsidR="001E5E3F">
        <w:rPr>
          <w:lang w:val="ru-RU"/>
        </w:rPr>
        <w:t>МФО</w:t>
      </w:r>
      <w:r w:rsidR="008C7A93" w:rsidRPr="00DF1530">
        <w:rPr>
          <w:lang w:val="ru-RU"/>
        </w:rPr>
        <w:t xml:space="preserve"> </w:t>
      </w:r>
      <w:r w:rsidRPr="00DF1530">
        <w:rPr>
          <w:lang w:val="ru-RU"/>
        </w:rPr>
        <w:t xml:space="preserve">и публикация взимаемых </w:t>
      </w:r>
      <w:r w:rsidR="00DC5FB1" w:rsidRPr="00DF1530">
        <w:rPr>
          <w:lang w:val="ru-RU"/>
        </w:rPr>
        <w:t>процентн</w:t>
      </w:r>
      <w:r w:rsidRPr="00DF1530">
        <w:rPr>
          <w:lang w:val="ru-RU"/>
        </w:rPr>
        <w:t xml:space="preserve">ых </w:t>
      </w:r>
      <w:r w:rsidR="00DC5FB1" w:rsidRPr="00DF1530">
        <w:rPr>
          <w:lang w:val="ru-RU"/>
        </w:rPr>
        <w:t>став</w:t>
      </w:r>
      <w:r w:rsidRPr="00DF1530">
        <w:rPr>
          <w:lang w:val="ru-RU"/>
        </w:rPr>
        <w:t>о</w:t>
      </w:r>
      <w:r w:rsidR="00DC5FB1" w:rsidRPr="00DF1530">
        <w:rPr>
          <w:lang w:val="ru-RU"/>
        </w:rPr>
        <w:t>к</w:t>
      </w:r>
      <w:r w:rsidR="008C7A93" w:rsidRPr="00DF1530">
        <w:rPr>
          <w:lang w:val="ru-RU"/>
        </w:rPr>
        <w:t xml:space="preserve">. </w:t>
      </w:r>
      <w:r w:rsidRPr="00DF1530">
        <w:rPr>
          <w:lang w:val="ru-RU"/>
        </w:rPr>
        <w:t xml:space="preserve">Предлагать техническую помощь для </w:t>
      </w:r>
      <w:r w:rsidR="00E57A1C" w:rsidRPr="00DF1530">
        <w:rPr>
          <w:lang w:val="ru-RU"/>
        </w:rPr>
        <w:t>поддержк</w:t>
      </w:r>
      <w:r w:rsidRPr="00DF1530">
        <w:rPr>
          <w:lang w:val="ru-RU"/>
        </w:rPr>
        <w:t>и</w:t>
      </w:r>
      <w:r w:rsidR="008C7A93" w:rsidRPr="00DF1530">
        <w:rPr>
          <w:lang w:val="ru-RU"/>
        </w:rPr>
        <w:t xml:space="preserve"> </w:t>
      </w:r>
      <w:r w:rsidR="00AA7FCB" w:rsidRPr="00DF1530">
        <w:rPr>
          <w:lang w:val="ru-RU"/>
        </w:rPr>
        <w:t>микрофинансовы</w:t>
      </w:r>
      <w:r w:rsidRPr="00DF1530">
        <w:rPr>
          <w:lang w:val="ru-RU"/>
        </w:rPr>
        <w:t>х</w:t>
      </w:r>
      <w:r w:rsidR="00AA7FCB" w:rsidRPr="00DF1530">
        <w:rPr>
          <w:lang w:val="ru-RU"/>
        </w:rPr>
        <w:t xml:space="preserve"> организаци</w:t>
      </w:r>
      <w:r w:rsidRPr="00DF1530">
        <w:rPr>
          <w:lang w:val="ru-RU"/>
        </w:rPr>
        <w:t>й</w:t>
      </w:r>
      <w:r w:rsidR="008C7A93" w:rsidRPr="00DF1530">
        <w:rPr>
          <w:lang w:val="ru-RU"/>
        </w:rPr>
        <w:t xml:space="preserve"> </w:t>
      </w:r>
      <w:r w:rsidRPr="00DF1530">
        <w:rPr>
          <w:lang w:val="ru-RU"/>
        </w:rPr>
        <w:t>в разработке систем более эффективной оценки рисков клиентов</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рейтинг кредитоспособности</w:t>
      </w:r>
      <w:r w:rsidR="008C7A93" w:rsidRPr="00DF1530">
        <w:rPr>
          <w:lang w:val="ru-RU"/>
        </w:rPr>
        <w:t xml:space="preserve">. </w:t>
      </w:r>
      <w:r w:rsidRPr="00DF1530">
        <w:rPr>
          <w:lang w:val="ru-RU"/>
        </w:rPr>
        <w:t xml:space="preserve">Устранить имеющиеся пробелы в региональном покрытии </w:t>
      </w:r>
      <w:r w:rsidR="001E5E3F">
        <w:rPr>
          <w:lang w:val="ru-RU"/>
        </w:rPr>
        <w:t>МФО</w:t>
      </w:r>
      <w:r w:rsidR="008C7A93" w:rsidRPr="00DF1530">
        <w:rPr>
          <w:lang w:val="ru-RU"/>
        </w:rPr>
        <w:t>.</w:t>
      </w:r>
    </w:p>
    <w:p w:rsidR="008C7A93" w:rsidRPr="00DF1530" w:rsidRDefault="008C43FC" w:rsidP="008C7A93">
      <w:pPr>
        <w:pStyle w:val="a"/>
        <w:rPr>
          <w:lang w:val="ru-RU"/>
        </w:rPr>
      </w:pPr>
      <w:r w:rsidRPr="00DF1530">
        <w:rPr>
          <w:lang w:val="ru-RU"/>
        </w:rPr>
        <w:t>Направлять государственны</w:t>
      </w:r>
      <w:r w:rsidR="00233F4F" w:rsidRPr="00DF1530">
        <w:rPr>
          <w:lang w:val="ru-RU"/>
        </w:rPr>
        <w:t>е</w:t>
      </w:r>
      <w:r w:rsidRPr="00DF1530">
        <w:rPr>
          <w:lang w:val="ru-RU"/>
        </w:rPr>
        <w:t xml:space="preserve"> </w:t>
      </w:r>
      <w:r w:rsidR="00B32F4A" w:rsidRPr="00DF1530">
        <w:rPr>
          <w:lang w:val="ru-RU"/>
        </w:rPr>
        <w:t>инвестиции</w:t>
      </w:r>
      <w:r w:rsidR="008C7A93" w:rsidRPr="00DF1530">
        <w:rPr>
          <w:lang w:val="ru-RU"/>
        </w:rPr>
        <w:t xml:space="preserve"> </w:t>
      </w:r>
      <w:r w:rsidRPr="00DF1530">
        <w:rPr>
          <w:lang w:val="ru-RU"/>
        </w:rPr>
        <w:t>в</w:t>
      </w:r>
      <w:r w:rsidR="008C7A93" w:rsidRPr="00DF1530">
        <w:rPr>
          <w:lang w:val="ru-RU"/>
        </w:rPr>
        <w:t xml:space="preserve"> </w:t>
      </w:r>
      <w:r w:rsidR="008E18A7" w:rsidRPr="00DF1530">
        <w:rPr>
          <w:lang w:val="ru-RU"/>
        </w:rPr>
        <w:t>венчурный капитал</w:t>
      </w:r>
      <w:r w:rsidR="008C7A93" w:rsidRPr="00DF1530">
        <w:rPr>
          <w:lang w:val="ru-RU"/>
        </w:rPr>
        <w:t xml:space="preserve"> </w:t>
      </w:r>
      <w:r w:rsidRPr="00DF1530">
        <w:rPr>
          <w:lang w:val="ru-RU"/>
        </w:rPr>
        <w:t xml:space="preserve">для расширения деятельности </w:t>
      </w:r>
      <w:r w:rsidR="00976BC2" w:rsidRPr="00DF1530">
        <w:rPr>
          <w:lang w:val="ru-RU"/>
        </w:rPr>
        <w:t>существующи</w:t>
      </w:r>
      <w:r w:rsidRPr="00DF1530">
        <w:rPr>
          <w:lang w:val="ru-RU"/>
        </w:rPr>
        <w:t>х</w:t>
      </w:r>
      <w:r w:rsidR="008C7A93" w:rsidRPr="00DF1530">
        <w:rPr>
          <w:lang w:val="ru-RU"/>
        </w:rPr>
        <w:t xml:space="preserve"> </w:t>
      </w:r>
      <w:r w:rsidRPr="00DF1530">
        <w:rPr>
          <w:lang w:val="ru-RU"/>
        </w:rPr>
        <w:t>фондов вместо создания новых фондов и принять меры для формирования инвестиционного сектора бизнес-ангелов</w:t>
      </w:r>
      <w:r w:rsidR="008C7A93" w:rsidRPr="00DF1530">
        <w:rPr>
          <w:lang w:val="ru-RU"/>
        </w:rPr>
        <w:t xml:space="preserve">. </w:t>
      </w:r>
    </w:p>
    <w:p w:rsidR="008C7A93" w:rsidRPr="00DF1530" w:rsidRDefault="0075713E" w:rsidP="008C7A93">
      <w:pPr>
        <w:pStyle w:val="a"/>
        <w:rPr>
          <w:lang w:val="ru-RU"/>
        </w:rPr>
      </w:pPr>
      <w:r w:rsidRPr="00DF1530">
        <w:rPr>
          <w:lang w:val="ru-RU"/>
        </w:rPr>
        <w:t xml:space="preserve">Создать централизованный институт обучения банковской деятельности, в котором одним из основных предметов будет кредитование </w:t>
      </w:r>
      <w:r w:rsidR="00834072" w:rsidRPr="00DF1530">
        <w:rPr>
          <w:lang w:val="ru-RU"/>
        </w:rPr>
        <w:t>МСП</w:t>
      </w:r>
      <w:r w:rsidR="008C7A93" w:rsidRPr="00DF1530">
        <w:rPr>
          <w:lang w:val="ru-RU"/>
        </w:rPr>
        <w:t xml:space="preserve">. </w:t>
      </w:r>
      <w:r w:rsidRPr="00DF1530">
        <w:rPr>
          <w:lang w:val="ru-RU"/>
        </w:rPr>
        <w:t>Уполномочить эту организацию пред</w:t>
      </w:r>
      <w:r w:rsidR="00DE1965" w:rsidRPr="00DF1530">
        <w:rPr>
          <w:lang w:val="ru-RU"/>
        </w:rPr>
        <w:t xml:space="preserve">лагать </w:t>
      </w:r>
      <w:r w:rsidRPr="00DF1530">
        <w:rPr>
          <w:lang w:val="ru-RU"/>
        </w:rPr>
        <w:t>программы дистанционного обучения</w:t>
      </w:r>
      <w:r w:rsidR="008C7A93" w:rsidRPr="00DF1530">
        <w:rPr>
          <w:lang w:val="ru-RU"/>
        </w:rPr>
        <w:t xml:space="preserve">, </w:t>
      </w:r>
      <w:r w:rsidRPr="00DF1530">
        <w:rPr>
          <w:lang w:val="ru-RU"/>
        </w:rPr>
        <w:t xml:space="preserve">обучения по Интернету и очного обучения для персонала банков и других специалистов по </w:t>
      </w:r>
      <w:r w:rsidR="0073200F" w:rsidRPr="00DF1530">
        <w:rPr>
          <w:lang w:val="ru-RU"/>
        </w:rPr>
        <w:t>финансовы</w:t>
      </w:r>
      <w:r w:rsidRPr="00DF1530">
        <w:rPr>
          <w:lang w:val="ru-RU"/>
        </w:rPr>
        <w:t>м услугам</w:t>
      </w:r>
      <w:r w:rsidR="008C7A93" w:rsidRPr="00DF1530">
        <w:rPr>
          <w:lang w:val="ru-RU"/>
        </w:rPr>
        <w:t xml:space="preserve">, </w:t>
      </w:r>
      <w:r w:rsidRPr="00DF1530">
        <w:rPr>
          <w:lang w:val="ru-RU"/>
        </w:rPr>
        <w:t xml:space="preserve">в том числе участвующих в </w:t>
      </w:r>
      <w:r w:rsidR="00AA7FCB" w:rsidRPr="00DF1530">
        <w:rPr>
          <w:lang w:val="ru-RU"/>
        </w:rPr>
        <w:t>программ</w:t>
      </w:r>
      <w:r w:rsidRPr="00DF1530">
        <w:rPr>
          <w:lang w:val="ru-RU"/>
        </w:rPr>
        <w:t>ах</w:t>
      </w:r>
      <w:r w:rsidR="00AA7FCB" w:rsidRPr="00DF1530">
        <w:rPr>
          <w:lang w:val="ru-RU"/>
        </w:rPr>
        <w:t xml:space="preserve"> кредитных гарантий</w:t>
      </w:r>
      <w:r w:rsidR="008C7A93" w:rsidRPr="00DF1530">
        <w:rPr>
          <w:lang w:val="ru-RU"/>
        </w:rPr>
        <w:t xml:space="preserve">, </w:t>
      </w:r>
      <w:r w:rsidR="00AA7FCB" w:rsidRPr="00DF1530">
        <w:rPr>
          <w:lang w:val="ru-RU"/>
        </w:rPr>
        <w:t>микрофинансовы</w:t>
      </w:r>
      <w:r w:rsidRPr="00DF1530">
        <w:rPr>
          <w:lang w:val="ru-RU"/>
        </w:rPr>
        <w:t>х</w:t>
      </w:r>
      <w:r w:rsidR="00AA7FCB" w:rsidRPr="00DF1530">
        <w:rPr>
          <w:lang w:val="ru-RU"/>
        </w:rPr>
        <w:t xml:space="preserve"> организаци</w:t>
      </w:r>
      <w:r w:rsidRPr="00DF1530">
        <w:rPr>
          <w:lang w:val="ru-RU"/>
        </w:rPr>
        <w:t xml:space="preserve">ях и фондах </w:t>
      </w:r>
      <w:r w:rsidR="008E18A7" w:rsidRPr="00DF1530">
        <w:rPr>
          <w:lang w:val="ru-RU"/>
        </w:rPr>
        <w:t>венчурн</w:t>
      </w:r>
      <w:r w:rsidRPr="00DF1530">
        <w:rPr>
          <w:lang w:val="ru-RU"/>
        </w:rPr>
        <w:t>ого</w:t>
      </w:r>
      <w:r w:rsidR="008E18A7" w:rsidRPr="00DF1530">
        <w:rPr>
          <w:lang w:val="ru-RU"/>
        </w:rPr>
        <w:t xml:space="preserve"> капитал</w:t>
      </w:r>
      <w:r w:rsidRPr="00DF1530">
        <w:rPr>
          <w:lang w:val="ru-RU"/>
        </w:rPr>
        <w:t>а</w:t>
      </w:r>
      <w:r w:rsidR="008C7A93" w:rsidRPr="00DF1530">
        <w:rPr>
          <w:lang w:val="ru-RU"/>
        </w:rPr>
        <w:t xml:space="preserve">. </w:t>
      </w:r>
    </w:p>
    <w:p w:rsidR="008C7A93" w:rsidRPr="00DF1530" w:rsidRDefault="00562D52" w:rsidP="008C7A93">
      <w:pPr>
        <w:pStyle w:val="a"/>
        <w:rPr>
          <w:lang w:val="ru-RU"/>
        </w:rPr>
      </w:pPr>
      <w:r w:rsidRPr="00DF1530">
        <w:rPr>
          <w:lang w:val="ru-RU"/>
        </w:rPr>
        <w:t xml:space="preserve">Расширить предложение </w:t>
      </w:r>
      <w:r w:rsidR="0073200F" w:rsidRPr="00DF1530">
        <w:rPr>
          <w:lang w:val="ru-RU"/>
        </w:rPr>
        <w:t>финансов</w:t>
      </w:r>
      <w:r w:rsidRPr="00DF1530">
        <w:rPr>
          <w:lang w:val="ru-RU"/>
        </w:rPr>
        <w:t>ого обучения</w:t>
      </w:r>
      <w:r w:rsidR="008C7A93" w:rsidRPr="00DF1530">
        <w:rPr>
          <w:lang w:val="ru-RU"/>
        </w:rPr>
        <w:t xml:space="preserve">, </w:t>
      </w:r>
      <w:r w:rsidRPr="00DF1530">
        <w:rPr>
          <w:lang w:val="ru-RU"/>
        </w:rPr>
        <w:t>консультаций и консульт</w:t>
      </w:r>
      <w:r w:rsidR="00DE1965" w:rsidRPr="00DF1530">
        <w:rPr>
          <w:lang w:val="ru-RU"/>
        </w:rPr>
        <w:t xml:space="preserve">ативных услуг </w:t>
      </w:r>
      <w:r w:rsidRPr="00DF1530">
        <w:rPr>
          <w:lang w:val="ru-RU"/>
        </w:rPr>
        <w:t xml:space="preserve">для </w:t>
      </w:r>
      <w:r w:rsidR="00976BC2" w:rsidRPr="00DF1530">
        <w:rPr>
          <w:lang w:val="ru-RU"/>
        </w:rPr>
        <w:t>существующи</w:t>
      </w:r>
      <w:r w:rsidRPr="00DF1530">
        <w:rPr>
          <w:lang w:val="ru-RU"/>
        </w:rPr>
        <w:t>х и потенциальных</w:t>
      </w:r>
      <w:r w:rsidR="008C7A93" w:rsidRPr="00DF1530">
        <w:rPr>
          <w:lang w:val="ru-RU"/>
        </w:rPr>
        <w:t xml:space="preserve"> </w:t>
      </w:r>
      <w:r w:rsidR="00347E3A" w:rsidRPr="00DF1530">
        <w:rPr>
          <w:lang w:val="ru-RU"/>
        </w:rPr>
        <w:t>предпринимател</w:t>
      </w:r>
      <w:r w:rsidRPr="00DF1530">
        <w:rPr>
          <w:lang w:val="ru-RU"/>
        </w:rPr>
        <w:t>ей</w:t>
      </w:r>
      <w:r w:rsidR="008C7A93" w:rsidRPr="00DF1530">
        <w:rPr>
          <w:lang w:val="ru-RU"/>
        </w:rPr>
        <w:t xml:space="preserve">.  </w:t>
      </w:r>
    </w:p>
    <w:p w:rsidR="008C7A93" w:rsidRPr="00DF1530" w:rsidRDefault="00562D52" w:rsidP="008C7A93">
      <w:pPr>
        <w:pStyle w:val="a"/>
        <w:rPr>
          <w:lang w:val="ru-RU"/>
        </w:rPr>
      </w:pPr>
      <w:r w:rsidRPr="00DF1530">
        <w:rPr>
          <w:lang w:val="ru-RU"/>
        </w:rPr>
        <w:t xml:space="preserve">Расширить </w:t>
      </w:r>
      <w:r w:rsidR="00297F6F" w:rsidRPr="00DF1530">
        <w:rPr>
          <w:lang w:val="ru-RU"/>
        </w:rPr>
        <w:t>деятельность</w:t>
      </w:r>
      <w:r w:rsidR="008C7A93" w:rsidRPr="00DF1530">
        <w:rPr>
          <w:lang w:val="ru-RU"/>
        </w:rPr>
        <w:t xml:space="preserve"> </w:t>
      </w:r>
      <w:r w:rsidRPr="00DF1530">
        <w:rPr>
          <w:lang w:val="ru-RU"/>
        </w:rPr>
        <w:t xml:space="preserve">по финансированию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осуществляемую </w:t>
      </w:r>
      <w:r w:rsidR="00202BA0" w:rsidRPr="00DF1530">
        <w:rPr>
          <w:lang w:val="ru-RU"/>
        </w:rPr>
        <w:t>ВЭБ</w:t>
      </w:r>
      <w:r w:rsidR="008C7A93" w:rsidRPr="00DF1530">
        <w:rPr>
          <w:lang w:val="ru-RU"/>
        </w:rPr>
        <w:t xml:space="preserve"> </w:t>
      </w:r>
      <w:r w:rsidRPr="00DF1530">
        <w:rPr>
          <w:lang w:val="ru-RU"/>
        </w:rPr>
        <w:t xml:space="preserve">и </w:t>
      </w:r>
      <w:r w:rsidR="00202BA0" w:rsidRPr="00DF1530">
        <w:rPr>
          <w:lang w:val="ru-RU"/>
        </w:rPr>
        <w:t>МСП Банк</w:t>
      </w:r>
      <w:r w:rsidRPr="00DF1530">
        <w:rPr>
          <w:lang w:val="ru-RU"/>
        </w:rPr>
        <w:t>ом,</w:t>
      </w:r>
      <w:r w:rsidR="008C7A93" w:rsidRPr="00DF1530">
        <w:rPr>
          <w:lang w:val="ru-RU"/>
        </w:rPr>
        <w:t xml:space="preserve"> </w:t>
      </w:r>
      <w:r w:rsidR="00635D7C" w:rsidRPr="00DF1530">
        <w:rPr>
          <w:lang w:val="ru-RU"/>
        </w:rPr>
        <w:t>в соответствии с</w:t>
      </w:r>
      <w:r w:rsidR="008C7A93" w:rsidRPr="00DF1530">
        <w:rPr>
          <w:lang w:val="ru-RU"/>
        </w:rPr>
        <w:t xml:space="preserve"> </w:t>
      </w:r>
      <w:r w:rsidRPr="00DF1530">
        <w:rPr>
          <w:lang w:val="ru-RU"/>
        </w:rPr>
        <w:t xml:space="preserve">международной оптимальной практикой для государственных </w:t>
      </w:r>
      <w:r w:rsidR="0073200F" w:rsidRPr="00DF1530">
        <w:rPr>
          <w:lang w:val="ru-RU"/>
        </w:rPr>
        <w:t>финансовы</w:t>
      </w:r>
      <w:r w:rsidRPr="00DF1530">
        <w:rPr>
          <w:lang w:val="ru-RU"/>
        </w:rPr>
        <w:t>х</w:t>
      </w:r>
      <w:r w:rsidR="008C7A93" w:rsidRPr="00DF1530">
        <w:rPr>
          <w:lang w:val="ru-RU"/>
        </w:rPr>
        <w:t xml:space="preserve"> </w:t>
      </w:r>
      <w:r w:rsidRPr="00DF1530">
        <w:rPr>
          <w:lang w:val="ru-RU"/>
        </w:rPr>
        <w:t>организаций</w:t>
      </w:r>
      <w:r w:rsidR="008C7A93" w:rsidRPr="00DF1530">
        <w:rPr>
          <w:lang w:val="ru-RU"/>
        </w:rPr>
        <w:t xml:space="preserve">, </w:t>
      </w:r>
      <w:r w:rsidR="00297F6F" w:rsidRPr="00DF1530">
        <w:rPr>
          <w:lang w:val="ru-RU"/>
        </w:rPr>
        <w:t>включая</w:t>
      </w:r>
      <w:r w:rsidR="008C7A93" w:rsidRPr="00DF1530">
        <w:rPr>
          <w:lang w:val="ru-RU"/>
        </w:rPr>
        <w:t xml:space="preserve"> </w:t>
      </w:r>
      <w:r w:rsidRPr="00DF1530">
        <w:rPr>
          <w:lang w:val="ru-RU"/>
        </w:rPr>
        <w:t xml:space="preserve">поддержку программ </w:t>
      </w:r>
      <w:r w:rsidR="0073200F" w:rsidRPr="00DF1530">
        <w:rPr>
          <w:lang w:val="ru-RU"/>
        </w:rPr>
        <w:t>финансов</w:t>
      </w:r>
      <w:r w:rsidRPr="00DF1530">
        <w:rPr>
          <w:lang w:val="ru-RU"/>
        </w:rPr>
        <w:t>о</w:t>
      </w:r>
      <w:r w:rsidR="0073200F" w:rsidRPr="00DF1530">
        <w:rPr>
          <w:lang w:val="ru-RU"/>
        </w:rPr>
        <w:t>й</w:t>
      </w:r>
      <w:r w:rsidR="008C7A93" w:rsidRPr="00DF1530">
        <w:rPr>
          <w:lang w:val="ru-RU"/>
        </w:rPr>
        <w:t xml:space="preserve"> </w:t>
      </w:r>
      <w:r w:rsidRPr="00DF1530">
        <w:rPr>
          <w:lang w:val="ru-RU"/>
        </w:rPr>
        <w:t>грамотности</w:t>
      </w:r>
      <w:r w:rsidR="008C7A93" w:rsidRPr="00DF1530">
        <w:rPr>
          <w:lang w:val="ru-RU"/>
        </w:rPr>
        <w:t xml:space="preserve">, </w:t>
      </w:r>
      <w:r w:rsidRPr="00DF1530">
        <w:rPr>
          <w:lang w:val="ru-RU"/>
        </w:rPr>
        <w:t xml:space="preserve">разработку </w:t>
      </w:r>
      <w:r w:rsidR="0010795B" w:rsidRPr="00DF1530">
        <w:rPr>
          <w:lang w:val="ru-RU"/>
        </w:rPr>
        <w:t>национальн</w:t>
      </w:r>
      <w:r w:rsidRPr="00DF1530">
        <w:rPr>
          <w:lang w:val="ru-RU"/>
        </w:rPr>
        <w:t>о</w:t>
      </w:r>
      <w:r w:rsidR="0010795B" w:rsidRPr="00DF1530">
        <w:rPr>
          <w:lang w:val="ru-RU"/>
        </w:rPr>
        <w:t>й</w:t>
      </w:r>
      <w:r w:rsidR="008C7A93" w:rsidRPr="00DF1530">
        <w:rPr>
          <w:lang w:val="ru-RU"/>
        </w:rPr>
        <w:t xml:space="preserve"> </w:t>
      </w:r>
      <w:r w:rsidRPr="00DF1530">
        <w:rPr>
          <w:lang w:val="ru-RU"/>
        </w:rPr>
        <w:t xml:space="preserve">системы кредитной </w:t>
      </w:r>
      <w:r w:rsidR="0023536F" w:rsidRPr="00DF1530">
        <w:rPr>
          <w:lang w:val="ru-RU"/>
        </w:rPr>
        <w:t>информаци</w:t>
      </w:r>
      <w:r w:rsidRPr="00DF1530">
        <w:rPr>
          <w:lang w:val="ru-RU"/>
        </w:rPr>
        <w:t>и</w:t>
      </w:r>
      <w:r w:rsidR="008C7A93" w:rsidRPr="00DF1530">
        <w:rPr>
          <w:lang w:val="ru-RU"/>
        </w:rPr>
        <w:t xml:space="preserve"> </w:t>
      </w:r>
      <w:r w:rsidRPr="00DF1530">
        <w:rPr>
          <w:lang w:val="ru-RU"/>
        </w:rPr>
        <w:t xml:space="preserve">и предложение новых </w:t>
      </w:r>
      <w:r w:rsidR="0073200F" w:rsidRPr="00DF1530">
        <w:rPr>
          <w:lang w:val="ru-RU"/>
        </w:rPr>
        <w:t>финансовы</w:t>
      </w:r>
      <w:r w:rsidRPr="00DF1530">
        <w:rPr>
          <w:lang w:val="ru-RU"/>
        </w:rPr>
        <w:t xml:space="preserve">х продуктов, </w:t>
      </w:r>
      <w:r w:rsidR="00297F6F" w:rsidRPr="00DF1530">
        <w:rPr>
          <w:lang w:val="ru-RU"/>
        </w:rPr>
        <w:t>включая</w:t>
      </w:r>
      <w:r w:rsidR="008C7A93" w:rsidRPr="00DF1530">
        <w:rPr>
          <w:lang w:val="ru-RU"/>
        </w:rPr>
        <w:t xml:space="preserve"> </w:t>
      </w:r>
      <w:r w:rsidRPr="00DF1530">
        <w:rPr>
          <w:lang w:val="ru-RU"/>
        </w:rPr>
        <w:t>долевые инструменты</w:t>
      </w:r>
      <w:r w:rsidR="008C7A93" w:rsidRPr="00DF1530">
        <w:rPr>
          <w:lang w:val="ru-RU"/>
        </w:rPr>
        <w:t xml:space="preserve">, </w:t>
      </w:r>
      <w:r w:rsidRPr="00DF1530">
        <w:rPr>
          <w:lang w:val="ru-RU"/>
        </w:rPr>
        <w:t>гибридные долговые/долевые инструменты и инструменты секьюритизации</w:t>
      </w:r>
      <w:r w:rsidR="008C7A93" w:rsidRPr="00DF1530">
        <w:rPr>
          <w:lang w:val="ru-RU"/>
        </w:rPr>
        <w:t xml:space="preserve">. </w:t>
      </w:r>
    </w:p>
    <w:p w:rsidR="008C7A93" w:rsidRPr="00DF1530" w:rsidRDefault="00E46EA1" w:rsidP="008C7A93">
      <w:pPr>
        <w:pStyle w:val="a"/>
        <w:rPr>
          <w:lang w:val="ru-RU"/>
        </w:rPr>
      </w:pPr>
      <w:r w:rsidRPr="00DF1530">
        <w:rPr>
          <w:lang w:val="ru-RU"/>
        </w:rPr>
        <w:t xml:space="preserve">Разрабатывать все меры, принимаемые для совершенствования системы </w:t>
      </w:r>
      <w:r w:rsidR="004A7BFD" w:rsidRPr="00DF1530">
        <w:rPr>
          <w:lang w:val="ru-RU"/>
        </w:rPr>
        <w:t>финансировани</w:t>
      </w:r>
      <w:r w:rsidRPr="00DF1530">
        <w:rPr>
          <w:lang w:val="ru-RU"/>
        </w:rPr>
        <w:t>я</w:t>
      </w:r>
      <w:r w:rsidR="008C7A93" w:rsidRPr="00DF1530">
        <w:rPr>
          <w:lang w:val="ru-RU"/>
        </w:rPr>
        <w:t xml:space="preserve">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таким образом, чтобы исключить возможность системной </w:t>
      </w:r>
      <w:r w:rsidR="00FE69BF" w:rsidRPr="00DF1530">
        <w:rPr>
          <w:lang w:val="ru-RU"/>
        </w:rPr>
        <w:t>коррупци</w:t>
      </w:r>
      <w:r w:rsidRPr="00DF1530">
        <w:rPr>
          <w:lang w:val="ru-RU"/>
        </w:rPr>
        <w:t>и</w:t>
      </w:r>
      <w:r w:rsidR="008C7A93" w:rsidRPr="00DF1530">
        <w:rPr>
          <w:lang w:val="ru-RU"/>
        </w:rPr>
        <w:t xml:space="preserve"> </w:t>
      </w:r>
      <w:r w:rsidRPr="00DF1530">
        <w:rPr>
          <w:lang w:val="ru-RU"/>
        </w:rPr>
        <w:t>и усилить защиту инвесторов посредством правовой системы</w:t>
      </w:r>
      <w:r w:rsidR="008C7A93" w:rsidRPr="00DF1530">
        <w:rPr>
          <w:lang w:val="ru-RU"/>
        </w:rPr>
        <w:t xml:space="preserve">. </w:t>
      </w:r>
    </w:p>
    <w:p w:rsidR="008C7A93" w:rsidRPr="00DF1530" w:rsidRDefault="008C7A93" w:rsidP="008C7A93">
      <w:pPr>
        <w:pStyle w:val="21"/>
        <w:rPr>
          <w:lang w:val="ru-RU"/>
        </w:rPr>
      </w:pPr>
      <w:bookmarkStart w:id="117" w:name="_Toc411535421"/>
      <w:r w:rsidRPr="00DF1530">
        <w:rPr>
          <w:lang w:val="ru-RU"/>
        </w:rPr>
        <w:t xml:space="preserve">1.6. </w:t>
      </w:r>
      <w:r w:rsidRPr="00DF1530">
        <w:rPr>
          <w:lang w:val="ru-RU"/>
        </w:rPr>
        <w:tab/>
      </w:r>
      <w:r w:rsidR="00651DBD" w:rsidRPr="00DF1530">
        <w:rPr>
          <w:lang w:val="ru-RU"/>
        </w:rPr>
        <w:t>П</w:t>
      </w:r>
      <w:r w:rsidR="00EB1372" w:rsidRPr="00DF1530">
        <w:rPr>
          <w:lang w:val="ru-RU"/>
        </w:rPr>
        <w:t>олитика по МСП и предпринимательской деятельности</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DF1530">
        <w:rPr>
          <w:lang w:val="ru-RU"/>
        </w:rPr>
        <w:t xml:space="preserve"> </w:t>
      </w:r>
      <w:r w:rsidR="00651DBD" w:rsidRPr="00DF1530">
        <w:rPr>
          <w:lang w:val="ru-RU"/>
        </w:rPr>
        <w:t>на местном уровне</w:t>
      </w:r>
      <w:r w:rsidRPr="00DF1530">
        <w:rPr>
          <w:lang w:val="ru-RU"/>
        </w:rPr>
        <w:t xml:space="preserve"> </w:t>
      </w:r>
    </w:p>
    <w:p w:rsidR="008C7A93" w:rsidRPr="00DF1530" w:rsidRDefault="00651DBD" w:rsidP="008C7A93">
      <w:pPr>
        <w:pStyle w:val="31"/>
        <w:rPr>
          <w:lang w:val="ru-RU"/>
        </w:rPr>
      </w:pPr>
      <w:r w:rsidRPr="00DF1530">
        <w:rPr>
          <w:lang w:val="ru-RU"/>
        </w:rPr>
        <w:t xml:space="preserve">Недостаточность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Pr="00DF1530">
        <w:rPr>
          <w:lang w:val="ru-RU"/>
        </w:rPr>
        <w:t>в сельских районах</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93F34" w:rsidRPr="00DF1530">
        <w:rPr>
          <w:lang w:val="ru-RU"/>
        </w:rPr>
        <w:t>Показатели по п</w:t>
      </w:r>
      <w:r w:rsidR="00834072" w:rsidRPr="00DF1530">
        <w:rPr>
          <w:lang w:val="ru-RU"/>
        </w:rPr>
        <w:t>редпринимательск</w:t>
      </w:r>
      <w:r w:rsidR="00B93F34" w:rsidRPr="00DF1530">
        <w:rPr>
          <w:lang w:val="ru-RU"/>
        </w:rPr>
        <w:t>ой</w:t>
      </w:r>
      <w:r w:rsidR="00834072" w:rsidRPr="00DF1530">
        <w:rPr>
          <w:lang w:val="ru-RU"/>
        </w:rPr>
        <w:t xml:space="preserve"> деятельност</w:t>
      </w:r>
      <w:r w:rsidR="00B93F34" w:rsidRPr="00DF1530">
        <w:rPr>
          <w:lang w:val="ru-RU"/>
        </w:rPr>
        <w:t xml:space="preserve">и и </w:t>
      </w:r>
      <w:r w:rsidR="00834072" w:rsidRPr="00DF1530">
        <w:rPr>
          <w:lang w:val="ru-RU"/>
        </w:rPr>
        <w:t>МСП</w:t>
      </w:r>
      <w:r w:rsidR="008C7A93" w:rsidRPr="00DF1530">
        <w:rPr>
          <w:lang w:val="ru-RU"/>
        </w:rPr>
        <w:t xml:space="preserve"> </w:t>
      </w:r>
      <w:r w:rsidR="00B93F34" w:rsidRPr="00DF1530">
        <w:rPr>
          <w:lang w:val="ru-RU"/>
        </w:rPr>
        <w:t>в Российской Федерации географически неравномерны и отличаются высоким уровнем региональной экономической диспропорции</w:t>
      </w:r>
      <w:r w:rsidR="008C7A93" w:rsidRPr="00DF1530">
        <w:rPr>
          <w:lang w:val="ru-RU"/>
        </w:rPr>
        <w:t xml:space="preserve">. </w:t>
      </w:r>
      <w:r w:rsidR="007C68D2" w:rsidRPr="00DF1530">
        <w:rPr>
          <w:lang w:val="ru-RU"/>
        </w:rPr>
        <w:t>Однако</w:t>
      </w:r>
      <w:r w:rsidR="008C7A93" w:rsidRPr="00DF1530">
        <w:rPr>
          <w:lang w:val="ru-RU"/>
        </w:rPr>
        <w:t xml:space="preserve"> </w:t>
      </w:r>
      <w:r w:rsidR="00B93F34" w:rsidRPr="00DF1530">
        <w:rPr>
          <w:lang w:val="ru-RU"/>
        </w:rPr>
        <w:t xml:space="preserve">способность </w:t>
      </w:r>
      <w:r w:rsidR="00701FAE" w:rsidRPr="00DF1530">
        <w:rPr>
          <w:lang w:val="ru-RU"/>
        </w:rPr>
        <w:t>Российской Федерации</w:t>
      </w:r>
      <w:r w:rsidR="008C7A93" w:rsidRPr="00DF1530">
        <w:rPr>
          <w:lang w:val="ru-RU"/>
        </w:rPr>
        <w:t xml:space="preserve"> </w:t>
      </w:r>
      <w:r w:rsidR="00B93F34" w:rsidRPr="00DF1530">
        <w:rPr>
          <w:lang w:val="ru-RU"/>
        </w:rPr>
        <w:t xml:space="preserve">добиться более сбалансированного территориального развития и достичь своих целей по росту занятости в </w:t>
      </w:r>
      <w:r w:rsidR="00834072" w:rsidRPr="00DF1530">
        <w:rPr>
          <w:lang w:val="ru-RU"/>
        </w:rPr>
        <w:t>МСП</w:t>
      </w:r>
      <w:r w:rsidR="008C7A93" w:rsidRPr="00DF1530">
        <w:rPr>
          <w:lang w:val="ru-RU"/>
        </w:rPr>
        <w:t xml:space="preserve"> </w:t>
      </w:r>
      <w:r w:rsidR="00B93F34" w:rsidRPr="00DF1530">
        <w:rPr>
          <w:lang w:val="ru-RU"/>
        </w:rPr>
        <w:t xml:space="preserve">и добавленной стоимости зависит от способности регионов и городов стимулировать создание предприятий </w:t>
      </w:r>
      <w:r w:rsidR="00BD25D1" w:rsidRPr="00DF1530">
        <w:rPr>
          <w:lang w:val="ru-RU"/>
        </w:rPr>
        <w:t>частн</w:t>
      </w:r>
      <w:r w:rsidR="00B93F34" w:rsidRPr="00DF1530">
        <w:rPr>
          <w:lang w:val="ru-RU"/>
        </w:rPr>
        <w:t xml:space="preserve">ого </w:t>
      </w:r>
      <w:r w:rsidR="00BD25D1" w:rsidRPr="00DF1530">
        <w:rPr>
          <w:lang w:val="ru-RU"/>
        </w:rPr>
        <w:t>сектор</w:t>
      </w:r>
      <w:r w:rsidR="00B93F34" w:rsidRPr="00DF1530">
        <w:rPr>
          <w:lang w:val="ru-RU"/>
        </w:rPr>
        <w:t>а</w:t>
      </w:r>
      <w:r w:rsidR="008C7A93" w:rsidRPr="00DF1530">
        <w:rPr>
          <w:lang w:val="ru-RU"/>
        </w:rPr>
        <w:t xml:space="preserve">. </w:t>
      </w:r>
      <w:r w:rsidR="00B93F34" w:rsidRPr="00DF1530">
        <w:rPr>
          <w:lang w:val="ru-RU"/>
        </w:rPr>
        <w:t xml:space="preserve">На </w:t>
      </w:r>
      <w:r w:rsidR="00592D7B" w:rsidRPr="00DF1530">
        <w:rPr>
          <w:lang w:val="ru-RU"/>
        </w:rPr>
        <w:t>Рисунк</w:t>
      </w:r>
      <w:r w:rsidR="00B93F34" w:rsidRPr="00DF1530">
        <w:rPr>
          <w:lang w:val="ru-RU"/>
        </w:rPr>
        <w:t>е</w:t>
      </w:r>
      <w:r w:rsidR="008C7A93" w:rsidRPr="00DF1530">
        <w:rPr>
          <w:lang w:val="ru-RU"/>
        </w:rPr>
        <w:t xml:space="preserve"> 1.15 </w:t>
      </w:r>
      <w:r w:rsidR="00B93F34" w:rsidRPr="00DF1530">
        <w:rPr>
          <w:lang w:val="ru-RU"/>
        </w:rPr>
        <w:t xml:space="preserve">показаны </w:t>
      </w:r>
      <w:r w:rsidR="00976BC2" w:rsidRPr="00DF1530">
        <w:rPr>
          <w:lang w:val="ru-RU"/>
        </w:rPr>
        <w:t>существующи</w:t>
      </w:r>
      <w:r w:rsidR="00B93F34" w:rsidRPr="00DF1530">
        <w:rPr>
          <w:lang w:val="ru-RU"/>
        </w:rPr>
        <w:t>е</w:t>
      </w:r>
      <w:r w:rsidR="008C7A93" w:rsidRPr="00DF1530">
        <w:rPr>
          <w:lang w:val="ru-RU"/>
        </w:rPr>
        <w:t xml:space="preserve"> </w:t>
      </w:r>
      <w:r w:rsidR="00DB5969" w:rsidRPr="00DF1530">
        <w:rPr>
          <w:lang w:val="ru-RU"/>
        </w:rPr>
        <w:t>от</w:t>
      </w:r>
      <w:r w:rsidR="00B93F34" w:rsidRPr="00DF1530">
        <w:rPr>
          <w:lang w:val="ru-RU"/>
        </w:rPr>
        <w:t xml:space="preserve">личия между регионами по количеству </w:t>
      </w:r>
      <w:r w:rsidR="00F736B7" w:rsidRPr="00DF1530">
        <w:rPr>
          <w:lang w:val="ru-RU"/>
        </w:rPr>
        <w:t>МСП</w:t>
      </w:r>
      <w:r w:rsidR="008C7A93" w:rsidRPr="00DF1530">
        <w:rPr>
          <w:lang w:val="ru-RU"/>
        </w:rPr>
        <w:t xml:space="preserve"> </w:t>
      </w:r>
      <w:r w:rsidR="00B93F34" w:rsidRPr="00DF1530">
        <w:rPr>
          <w:lang w:val="ru-RU"/>
        </w:rPr>
        <w:t xml:space="preserve">на </w:t>
      </w:r>
      <w:r w:rsidR="008C7A93" w:rsidRPr="00DF1530">
        <w:rPr>
          <w:lang w:val="ru-RU"/>
        </w:rPr>
        <w:t xml:space="preserve">10 000 </w:t>
      </w:r>
      <w:r w:rsidR="00B93F34" w:rsidRPr="00DF1530">
        <w:rPr>
          <w:lang w:val="ru-RU"/>
        </w:rPr>
        <w:t>населения</w:t>
      </w:r>
      <w:r w:rsidR="008C7A93" w:rsidRPr="00DF1530">
        <w:rPr>
          <w:lang w:val="ru-RU"/>
        </w:rPr>
        <w:t xml:space="preserve">. </w:t>
      </w:r>
      <w:r w:rsidR="00B93F34" w:rsidRPr="00DF1530">
        <w:rPr>
          <w:lang w:val="ru-RU"/>
        </w:rPr>
        <w:t xml:space="preserve">Этот показатель превышает </w:t>
      </w:r>
      <w:r w:rsidR="008C7A93" w:rsidRPr="00DF1530">
        <w:rPr>
          <w:lang w:val="ru-RU"/>
        </w:rPr>
        <w:t xml:space="preserve">200 </w:t>
      </w:r>
      <w:r w:rsidR="00B93F34" w:rsidRPr="00DF1530">
        <w:rPr>
          <w:lang w:val="ru-RU"/>
        </w:rPr>
        <w:t>в Санкт-Петербурге</w:t>
      </w:r>
      <w:r w:rsidR="008C7A93" w:rsidRPr="00DF1530">
        <w:rPr>
          <w:lang w:val="ru-RU"/>
        </w:rPr>
        <w:t xml:space="preserve">, </w:t>
      </w:r>
      <w:r w:rsidR="00B93F34" w:rsidRPr="00DF1530">
        <w:rPr>
          <w:lang w:val="ru-RU"/>
        </w:rPr>
        <w:t>Калининграде</w:t>
      </w:r>
      <w:r w:rsidR="008C7A93" w:rsidRPr="00DF1530">
        <w:rPr>
          <w:lang w:val="ru-RU"/>
        </w:rPr>
        <w:t xml:space="preserve">, </w:t>
      </w:r>
      <w:r w:rsidR="00B93F34" w:rsidRPr="00DF1530">
        <w:rPr>
          <w:lang w:val="ru-RU"/>
        </w:rPr>
        <w:t>Новосибирске</w:t>
      </w:r>
      <w:r w:rsidR="008C7A93" w:rsidRPr="00DF1530">
        <w:rPr>
          <w:lang w:val="ru-RU"/>
        </w:rPr>
        <w:t xml:space="preserve">, </w:t>
      </w:r>
      <w:r w:rsidR="00B93F34" w:rsidRPr="00DF1530">
        <w:rPr>
          <w:lang w:val="ru-RU"/>
        </w:rPr>
        <w:t>Ярославле и Москве</w:t>
      </w:r>
      <w:r w:rsidR="008C7A93" w:rsidRPr="00DF1530">
        <w:rPr>
          <w:lang w:val="ru-RU"/>
        </w:rPr>
        <w:t xml:space="preserve">, </w:t>
      </w:r>
      <w:r w:rsidR="00B93F34" w:rsidRPr="00DF1530">
        <w:rPr>
          <w:lang w:val="ru-RU"/>
        </w:rPr>
        <w:t xml:space="preserve">но не </w:t>
      </w:r>
      <w:r w:rsidR="00EF70CC" w:rsidRPr="00DF1530">
        <w:rPr>
          <w:lang w:val="ru-RU"/>
        </w:rPr>
        <w:t xml:space="preserve">больше </w:t>
      </w:r>
      <w:r w:rsidR="008C7A93" w:rsidRPr="00DF1530">
        <w:rPr>
          <w:lang w:val="ru-RU"/>
        </w:rPr>
        <w:t xml:space="preserve">50 </w:t>
      </w:r>
      <w:r w:rsidR="00EF70CC" w:rsidRPr="00DF1530">
        <w:rPr>
          <w:lang w:val="ru-RU"/>
        </w:rPr>
        <w:t>в Тыве</w:t>
      </w:r>
      <w:r w:rsidR="008C7A93" w:rsidRPr="00DF1530">
        <w:rPr>
          <w:lang w:val="ru-RU"/>
        </w:rPr>
        <w:t xml:space="preserve">, </w:t>
      </w:r>
      <w:r w:rsidR="00EF70CC" w:rsidRPr="00DF1530">
        <w:rPr>
          <w:lang w:val="ru-RU"/>
        </w:rPr>
        <w:t>Забайкалье</w:t>
      </w:r>
      <w:r w:rsidR="008C7A93" w:rsidRPr="00DF1530">
        <w:rPr>
          <w:lang w:val="ru-RU"/>
        </w:rPr>
        <w:t xml:space="preserve">, </w:t>
      </w:r>
      <w:r w:rsidR="00EF70CC" w:rsidRPr="00DF1530">
        <w:rPr>
          <w:lang w:val="ru-RU"/>
        </w:rPr>
        <w:t>Чечне</w:t>
      </w:r>
      <w:r w:rsidR="008C7A93" w:rsidRPr="00DF1530">
        <w:rPr>
          <w:lang w:val="ru-RU"/>
        </w:rPr>
        <w:t xml:space="preserve">, </w:t>
      </w:r>
      <w:r w:rsidR="00EF70CC" w:rsidRPr="00DF1530">
        <w:rPr>
          <w:lang w:val="ru-RU"/>
        </w:rPr>
        <w:t>Калмыкии и Дагестане</w:t>
      </w:r>
      <w:r w:rsidR="008C7A93" w:rsidRPr="00DF1530">
        <w:rPr>
          <w:lang w:val="ru-RU"/>
        </w:rPr>
        <w:t xml:space="preserve">. </w:t>
      </w:r>
      <w:r w:rsidR="00EF70CC" w:rsidRPr="00DF1530">
        <w:rPr>
          <w:lang w:val="ru-RU"/>
        </w:rPr>
        <w:t xml:space="preserve">Наибольшие темпы роста количества </w:t>
      </w:r>
      <w:r w:rsidR="00834072" w:rsidRPr="00DF1530">
        <w:rPr>
          <w:lang w:val="ru-RU"/>
        </w:rPr>
        <w:t>МСП</w:t>
      </w:r>
      <w:r w:rsidR="008C7A93" w:rsidRPr="00DF1530">
        <w:rPr>
          <w:lang w:val="ru-RU"/>
        </w:rPr>
        <w:t xml:space="preserve"> </w:t>
      </w:r>
      <w:r w:rsidR="00592D7B" w:rsidRPr="00DF1530">
        <w:rPr>
          <w:lang w:val="ru-RU"/>
        </w:rPr>
        <w:t>также</w:t>
      </w:r>
      <w:r w:rsidR="008C7A93" w:rsidRPr="00DF1530">
        <w:rPr>
          <w:lang w:val="ru-RU"/>
        </w:rPr>
        <w:t xml:space="preserve"> </w:t>
      </w:r>
      <w:r w:rsidR="00EF70CC" w:rsidRPr="00DF1530">
        <w:rPr>
          <w:lang w:val="ru-RU"/>
        </w:rPr>
        <w:t xml:space="preserve">приходятся на </w:t>
      </w:r>
      <w:r w:rsidR="00976BC2" w:rsidRPr="00DF1530">
        <w:rPr>
          <w:lang w:val="ru-RU"/>
        </w:rPr>
        <w:t>существующи</w:t>
      </w:r>
      <w:r w:rsidR="00EF70CC" w:rsidRPr="00DF1530">
        <w:rPr>
          <w:lang w:val="ru-RU"/>
        </w:rPr>
        <w:t>е</w:t>
      </w:r>
      <w:r w:rsidR="008C7A93" w:rsidRPr="00DF1530">
        <w:rPr>
          <w:lang w:val="ru-RU"/>
        </w:rPr>
        <w:t xml:space="preserve"> </w:t>
      </w:r>
      <w:r w:rsidR="00EF70CC" w:rsidRPr="00DF1530">
        <w:rPr>
          <w:lang w:val="ru-RU"/>
        </w:rPr>
        <w:t xml:space="preserve">географические </w:t>
      </w:r>
      <w:r w:rsidR="00B32F4A" w:rsidRPr="00DF1530">
        <w:rPr>
          <w:lang w:val="ru-RU"/>
        </w:rPr>
        <w:t>центр</w:t>
      </w:r>
      <w:r w:rsidR="00EF70CC" w:rsidRPr="00DF1530">
        <w:rPr>
          <w:lang w:val="ru-RU"/>
        </w:rPr>
        <w:t>ы</w:t>
      </w:r>
      <w:r w:rsidR="008C7A93" w:rsidRPr="00DF1530">
        <w:rPr>
          <w:lang w:val="ru-RU"/>
        </w:rPr>
        <w:t xml:space="preserve"> </w:t>
      </w:r>
      <w:r w:rsidR="00EF70CC" w:rsidRPr="00DF1530">
        <w:rPr>
          <w:lang w:val="ru-RU"/>
        </w:rPr>
        <w:t xml:space="preserve">экономической </w:t>
      </w:r>
      <w:r w:rsidR="00834072" w:rsidRPr="00DF1530">
        <w:rPr>
          <w:lang w:val="ru-RU"/>
        </w:rPr>
        <w:t>деятельност</w:t>
      </w:r>
      <w:r w:rsidR="00EF70CC" w:rsidRPr="00DF1530">
        <w:rPr>
          <w:lang w:val="ru-RU"/>
        </w:rPr>
        <w:t>и</w:t>
      </w:r>
      <w:r w:rsidR="008C7A93" w:rsidRPr="00DF1530">
        <w:rPr>
          <w:lang w:val="ru-RU"/>
        </w:rPr>
        <w:t xml:space="preserve"> </w:t>
      </w:r>
      <w:r w:rsidR="00EF70CC" w:rsidRPr="00DF1530">
        <w:rPr>
          <w:lang w:val="ru-RU"/>
        </w:rPr>
        <w:t xml:space="preserve">и крупные городские </w:t>
      </w:r>
      <w:r w:rsidR="00B32F4A" w:rsidRPr="00DF1530">
        <w:rPr>
          <w:lang w:val="ru-RU"/>
        </w:rPr>
        <w:t>центр</w:t>
      </w:r>
      <w:r w:rsidR="00EF70CC" w:rsidRPr="00DF1530">
        <w:rPr>
          <w:lang w:val="ru-RU"/>
        </w:rPr>
        <w:t>ы</w:t>
      </w:r>
      <w:r w:rsidR="008C7A93" w:rsidRPr="00DF1530">
        <w:rPr>
          <w:lang w:val="ru-RU"/>
        </w:rPr>
        <w:t xml:space="preserve"> (</w:t>
      </w:r>
      <w:r w:rsidR="00B93F34" w:rsidRPr="00DF1530">
        <w:rPr>
          <w:lang w:val="ru-RU"/>
        </w:rPr>
        <w:t>Москва</w:t>
      </w:r>
      <w:r w:rsidR="008C7A93" w:rsidRPr="00DF1530">
        <w:rPr>
          <w:lang w:val="ru-RU"/>
        </w:rPr>
        <w:t xml:space="preserve"> </w:t>
      </w:r>
      <w:r w:rsidR="00EF70CC" w:rsidRPr="00DF1530">
        <w:rPr>
          <w:lang w:val="ru-RU"/>
        </w:rPr>
        <w:t>и Санкт-Петербург</w:t>
      </w:r>
      <w:r w:rsidR="008C7A93" w:rsidRPr="00DF1530">
        <w:rPr>
          <w:lang w:val="ru-RU"/>
        </w:rPr>
        <w:t xml:space="preserve">), </w:t>
      </w:r>
      <w:r w:rsidR="00EF70CC" w:rsidRPr="00DF1530">
        <w:rPr>
          <w:lang w:val="ru-RU"/>
        </w:rPr>
        <w:t>что усиливает диспропорции</w:t>
      </w:r>
      <w:r w:rsidR="008C7A93" w:rsidRPr="00DF1530">
        <w:rPr>
          <w:lang w:val="ru-RU"/>
        </w:rPr>
        <w:t xml:space="preserve">.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1.15.</w:t>
      </w:r>
      <w:r w:rsidR="00EF70CC" w:rsidRPr="00DF1530">
        <w:rPr>
          <w:lang w:val="ru-RU"/>
        </w:rPr>
        <w:t xml:space="preserve"> Количество</w:t>
      </w:r>
      <w:r w:rsidR="008C7A93" w:rsidRPr="00DF1530">
        <w:rPr>
          <w:lang w:val="ru-RU"/>
        </w:rPr>
        <w:t xml:space="preserve"> </w:t>
      </w:r>
      <w:r w:rsidR="00F736B7" w:rsidRPr="00DF1530">
        <w:rPr>
          <w:lang w:val="ru-RU"/>
        </w:rPr>
        <w:t>МСП</w:t>
      </w:r>
      <w:r w:rsidR="008C7A93" w:rsidRPr="00DF1530">
        <w:rPr>
          <w:lang w:val="ru-RU"/>
        </w:rPr>
        <w:t xml:space="preserve"> </w:t>
      </w:r>
      <w:r w:rsidR="00EF70CC" w:rsidRPr="00DF1530">
        <w:rPr>
          <w:lang w:val="ru-RU"/>
        </w:rPr>
        <w:t xml:space="preserve">на </w:t>
      </w:r>
      <w:r w:rsidR="008C7A93" w:rsidRPr="00DF1530">
        <w:rPr>
          <w:lang w:val="ru-RU"/>
        </w:rPr>
        <w:t xml:space="preserve">10 000 </w:t>
      </w:r>
      <w:r w:rsidR="00EF70CC" w:rsidRPr="00DF1530">
        <w:rPr>
          <w:lang w:val="ru-RU"/>
        </w:rPr>
        <w:t>населения</w:t>
      </w:r>
      <w:r w:rsidR="008C7A93" w:rsidRPr="00DF1530">
        <w:rPr>
          <w:lang w:val="ru-RU"/>
        </w:rPr>
        <w:t xml:space="preserve">, </w:t>
      </w:r>
      <w:r w:rsidR="005E53F2" w:rsidRPr="00DF1530">
        <w:rPr>
          <w:lang w:val="ru-RU"/>
        </w:rPr>
        <w:t>Российская Федерация</w:t>
      </w:r>
      <w:r w:rsidR="008C7A93" w:rsidRPr="00DF1530">
        <w:rPr>
          <w:lang w:val="ru-RU"/>
        </w:rPr>
        <w:t>, 2012</w:t>
      </w:r>
      <w:r w:rsidR="009030BD" w:rsidRPr="00DF1530">
        <w:rPr>
          <w:lang w:val="ru-RU"/>
        </w:rPr>
        <w:fldChar w:fldCharType="begin"/>
      </w:r>
      <w:r w:rsidR="008C7A93" w:rsidRPr="00DF1530">
        <w:rPr>
          <w:lang w:val="ru-RU"/>
        </w:rPr>
        <w:instrText xml:space="preserve"> TC \f f \l 2 "Figure 1.15.</w:instrText>
      </w:r>
      <w:r w:rsidR="008C7A93" w:rsidRPr="00DF1530">
        <w:rPr>
          <w:lang w:val="ru-RU"/>
        </w:rPr>
        <w:tab/>
        <w:instrText xml:space="preserve">Number of SMEs per 10 000 population, Russian Federation, 2012"  </w:instrText>
      </w:r>
      <w:r w:rsidR="009030BD" w:rsidRPr="00DF1530">
        <w:rPr>
          <w:lang w:val="ru-RU"/>
        </w:rPr>
        <w:fldChar w:fldCharType="end"/>
      </w:r>
      <w:r w:rsidR="00EF70CC" w:rsidRPr="00DF1530">
        <w:rPr>
          <w:lang w:val="ru-RU"/>
        </w:rPr>
        <w:t xml:space="preserve"> г.</w:t>
      </w:r>
    </w:p>
    <w:p w:rsidR="008C7A93" w:rsidRPr="00DF1530" w:rsidRDefault="008C7A93" w:rsidP="008C7A93">
      <w:pPr>
        <w:pStyle w:val="Graphic"/>
        <w:rPr>
          <w:lang w:val="ru-RU"/>
        </w:rPr>
      </w:pPr>
      <w:r w:rsidRPr="00DF1530">
        <w:rPr>
          <w:noProof/>
          <w:lang w:val="ru-RU" w:eastAsia="ru-RU"/>
        </w:rPr>
        <w:drawing>
          <wp:inline distT="0" distB="0" distL="0" distR="0">
            <wp:extent cx="6030325" cy="4252822"/>
            <wp:effectExtent l="0" t="0" r="8890" b="0"/>
            <wp:docPr id="6" name="Picture 6" descr="C:\Users\Potter_J\AppData\Local\Microsoft\Windows\Temporary Internet Files\Content.Outlook\V61MD4Z2\map_russia-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tter_J\AppData\Local\Microsoft\Windows\Temporary Internet Files\Content.Outlook\V61MD4Z2\map_russia-3 (2).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652" cy="4258695"/>
                    </a:xfrm>
                    <a:prstGeom prst="rect">
                      <a:avLst/>
                    </a:prstGeom>
                    <a:noFill/>
                    <a:ln>
                      <a:noFill/>
                    </a:ln>
                  </pic:spPr>
                </pic:pic>
              </a:graphicData>
            </a:graphic>
          </wp:inline>
        </w:drawing>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Обозначения</w:t>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Меньше 80</w:t>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От 80 до 110</w:t>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От 110 до 140</w:t>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От 140 до 170</w:t>
      </w:r>
    </w:p>
    <w:p w:rsidR="00EF70CC" w:rsidRPr="00DF1530" w:rsidRDefault="00EF70CC" w:rsidP="00EF70CC">
      <w:pPr>
        <w:pStyle w:val="FigureNote"/>
        <w:tabs>
          <w:tab w:val="clear" w:pos="850"/>
          <w:tab w:val="clear" w:pos="1191"/>
          <w:tab w:val="clear" w:pos="1531"/>
          <w:tab w:val="left" w:pos="440"/>
        </w:tabs>
        <w:rPr>
          <w:lang w:val="ru-RU"/>
        </w:rPr>
      </w:pPr>
      <w:r w:rsidRPr="00DF1530">
        <w:rPr>
          <w:lang w:val="ru-RU"/>
        </w:rPr>
        <w:t>Больше 170</w:t>
      </w:r>
    </w:p>
    <w:p w:rsidR="00EF70CC" w:rsidRPr="00DF1530" w:rsidRDefault="00EF70CC" w:rsidP="00EF70CC">
      <w:pPr>
        <w:pStyle w:val="FigureNote"/>
        <w:tabs>
          <w:tab w:val="clear" w:pos="850"/>
          <w:tab w:val="clear" w:pos="1191"/>
          <w:tab w:val="clear" w:pos="1531"/>
          <w:tab w:val="left" w:pos="440"/>
        </w:tabs>
        <w:rPr>
          <w:lang w:val="ru-RU"/>
        </w:rPr>
      </w:pPr>
    </w:p>
    <w:p w:rsidR="008C7A93" w:rsidRPr="00DF1530" w:rsidRDefault="00EF70CC" w:rsidP="00EF70CC">
      <w:pPr>
        <w:pStyle w:val="FigureNote"/>
        <w:tabs>
          <w:tab w:val="clear" w:pos="850"/>
          <w:tab w:val="clear" w:pos="1191"/>
          <w:tab w:val="clear" w:pos="1531"/>
          <w:tab w:val="left" w:pos="440"/>
        </w:tabs>
        <w:rPr>
          <w:lang w:val="ru-RU"/>
        </w:rPr>
      </w:pPr>
      <w:r w:rsidRPr="00DF1530">
        <w:rPr>
          <w:lang w:val="ru-RU"/>
        </w:rPr>
        <w:t>1. Цифры по Республике Ингушетия отсутствуют</w:t>
      </w:r>
      <w:r w:rsidR="008C7A93" w:rsidRPr="00DF1530">
        <w:rPr>
          <w:lang w:val="ru-RU"/>
        </w:rPr>
        <w:t>.</w:t>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EF70CC" w:rsidRPr="00DF1530">
        <w:rPr>
          <w:lang w:val="ru-RU"/>
        </w:rPr>
        <w:t>В расчета</w:t>
      </w:r>
      <w:r w:rsidR="00C54E38" w:rsidRPr="00DF1530">
        <w:rPr>
          <w:lang w:val="ru-RU"/>
        </w:rPr>
        <w:t>х</w:t>
      </w:r>
      <w:r w:rsidR="00EF70CC" w:rsidRPr="00DF1530">
        <w:rPr>
          <w:lang w:val="ru-RU"/>
        </w:rPr>
        <w:t xml:space="preserve"> использованы данные Росстата </w:t>
      </w:r>
      <w:r w:rsidR="008C7A93" w:rsidRPr="00DF1530">
        <w:rPr>
          <w:lang w:val="ru-RU"/>
        </w:rPr>
        <w:t xml:space="preserve">(2013), </w:t>
      </w:r>
      <w:r w:rsidR="00F736B7" w:rsidRPr="00DF1530">
        <w:rPr>
          <w:lang w:val="ru-RU"/>
        </w:rPr>
        <w:t>МСП</w:t>
      </w:r>
      <w:r w:rsidR="008C7A93" w:rsidRPr="00DF1530">
        <w:rPr>
          <w:lang w:val="ru-RU"/>
        </w:rPr>
        <w:t xml:space="preserve"> </w:t>
      </w:r>
      <w:r w:rsidR="00EF70CC" w:rsidRPr="00DF1530">
        <w:rPr>
          <w:lang w:val="ru-RU"/>
        </w:rPr>
        <w:t>в России (</w:t>
      </w:r>
      <w:r w:rsidR="008C7A93" w:rsidRPr="00DF1530">
        <w:rPr>
          <w:lang w:val="ru-RU"/>
        </w:rPr>
        <w:t>2013</w:t>
      </w:r>
      <w:r w:rsidR="00EF70CC" w:rsidRPr="00DF1530">
        <w:rPr>
          <w:lang w:val="ru-RU"/>
        </w:rPr>
        <w:t>)</w:t>
      </w:r>
      <w:r w:rsidR="008C7A93" w:rsidRPr="00DF1530">
        <w:rPr>
          <w:lang w:val="ru-RU"/>
        </w:rPr>
        <w:t>.</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94</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C54E38" w:rsidRPr="00DF1530">
        <w:rPr>
          <w:lang w:val="ru-RU"/>
        </w:rPr>
        <w:t>Имеется общая выраженная зависимость между</w:t>
      </w:r>
      <w:r w:rsidR="008C7A93" w:rsidRPr="00DF1530">
        <w:rPr>
          <w:lang w:val="ru-RU"/>
        </w:rPr>
        <w:t xml:space="preserve"> </w:t>
      </w:r>
      <w:r w:rsidR="00C54E38" w:rsidRPr="00DF1530">
        <w:rPr>
          <w:lang w:val="ru-RU"/>
        </w:rPr>
        <w:t xml:space="preserve">плотностью </w:t>
      </w:r>
      <w:r w:rsidR="00834072" w:rsidRPr="00DF1530">
        <w:rPr>
          <w:lang w:val="ru-RU"/>
        </w:rPr>
        <w:t>МСП</w:t>
      </w:r>
      <w:r w:rsidR="008C7A93" w:rsidRPr="00DF1530">
        <w:rPr>
          <w:lang w:val="ru-RU"/>
        </w:rPr>
        <w:t xml:space="preserve"> </w:t>
      </w:r>
      <w:r w:rsidR="00C54E38" w:rsidRPr="00DF1530">
        <w:rPr>
          <w:lang w:val="ru-RU"/>
        </w:rPr>
        <w:t>и удалением от столицы, при этом некоторые наиболее низкие показатели приходятся на пограничные территории</w:t>
      </w:r>
      <w:r w:rsidR="008C7A93" w:rsidRPr="00DF1530">
        <w:rPr>
          <w:lang w:val="ru-RU"/>
        </w:rPr>
        <w:t xml:space="preserve">. </w:t>
      </w:r>
      <w:r w:rsidR="007C68D2" w:rsidRPr="00DF1530">
        <w:rPr>
          <w:lang w:val="ru-RU"/>
        </w:rPr>
        <w:t>Однако</w:t>
      </w:r>
      <w:r w:rsidR="008C7A93" w:rsidRPr="00DF1530">
        <w:rPr>
          <w:lang w:val="ru-RU"/>
        </w:rPr>
        <w:t xml:space="preserve"> </w:t>
      </w:r>
      <w:r w:rsidR="00C54E38" w:rsidRPr="00DF1530">
        <w:rPr>
          <w:lang w:val="ru-RU"/>
        </w:rPr>
        <w:t>существует сильная взаимосвязь между</w:t>
      </w:r>
      <w:r w:rsidR="008C7A93" w:rsidRPr="00DF1530">
        <w:rPr>
          <w:lang w:val="ru-RU"/>
        </w:rPr>
        <w:t xml:space="preserve"> </w:t>
      </w:r>
      <w:r w:rsidR="00C54E38" w:rsidRPr="00DF1530">
        <w:rPr>
          <w:lang w:val="ru-RU"/>
        </w:rPr>
        <w:t xml:space="preserve">плотностью </w:t>
      </w:r>
      <w:r w:rsidR="00834072" w:rsidRPr="00DF1530">
        <w:rPr>
          <w:lang w:val="ru-RU"/>
        </w:rPr>
        <w:t>МСП</w:t>
      </w:r>
      <w:r w:rsidR="008C7A93" w:rsidRPr="00DF1530">
        <w:rPr>
          <w:lang w:val="ru-RU"/>
        </w:rPr>
        <w:t xml:space="preserve"> </w:t>
      </w:r>
      <w:r w:rsidR="00C54E38" w:rsidRPr="00DF1530">
        <w:rPr>
          <w:lang w:val="ru-RU"/>
        </w:rPr>
        <w:t>и урбанизацией</w:t>
      </w:r>
      <w:r w:rsidR="008C7A93" w:rsidRPr="00DF1530">
        <w:rPr>
          <w:lang w:val="ru-RU"/>
        </w:rPr>
        <w:t xml:space="preserve">. </w:t>
      </w:r>
      <w:r w:rsidR="00C54E38" w:rsidRPr="00DF1530">
        <w:rPr>
          <w:lang w:val="ru-RU"/>
        </w:rPr>
        <w:t xml:space="preserve">Низкая плотность </w:t>
      </w:r>
      <w:r w:rsidR="00F736B7" w:rsidRPr="00DF1530">
        <w:rPr>
          <w:lang w:val="ru-RU"/>
        </w:rPr>
        <w:t>МСП</w:t>
      </w:r>
      <w:r w:rsidR="008C7A93" w:rsidRPr="00DF1530">
        <w:rPr>
          <w:lang w:val="ru-RU"/>
        </w:rPr>
        <w:t xml:space="preserve"> </w:t>
      </w:r>
      <w:r w:rsidR="00C54E38" w:rsidRPr="00DF1530">
        <w:rPr>
          <w:lang w:val="ru-RU"/>
        </w:rPr>
        <w:t>характерна для сельских районов</w:t>
      </w:r>
      <w:r w:rsidR="008C7A93" w:rsidRPr="00DF1530">
        <w:rPr>
          <w:lang w:val="ru-RU"/>
        </w:rPr>
        <w:t xml:space="preserve"> </w:t>
      </w:r>
      <w:r w:rsidR="00C54E38" w:rsidRPr="00DF1530">
        <w:rPr>
          <w:lang w:val="ru-RU"/>
        </w:rPr>
        <w:t>с низкой плотностью населения</w:t>
      </w:r>
      <w:r w:rsidR="008C7A93" w:rsidRPr="00DF1530">
        <w:rPr>
          <w:lang w:val="ru-RU"/>
        </w:rPr>
        <w:t xml:space="preserve">. </w:t>
      </w:r>
      <w:r w:rsidR="00C54E38" w:rsidRPr="00DF1530">
        <w:rPr>
          <w:lang w:val="ru-RU"/>
        </w:rPr>
        <w:t>Другая сторона этой картины в том, что в сельских районах</w:t>
      </w:r>
      <w:r w:rsidR="008C7A93" w:rsidRPr="00DF1530">
        <w:rPr>
          <w:lang w:val="ru-RU"/>
        </w:rPr>
        <w:t xml:space="preserve"> </w:t>
      </w:r>
      <w:r w:rsidR="003F13A5" w:rsidRPr="00DF1530">
        <w:rPr>
          <w:lang w:val="ru-RU"/>
        </w:rPr>
        <w:t>самостоятельная занятость</w:t>
      </w:r>
      <w:r w:rsidR="008C7A93" w:rsidRPr="00DF1530">
        <w:rPr>
          <w:lang w:val="ru-RU"/>
        </w:rPr>
        <w:t xml:space="preserve"> </w:t>
      </w:r>
      <w:r w:rsidR="00C54E38" w:rsidRPr="00DF1530">
        <w:rPr>
          <w:lang w:val="ru-RU"/>
        </w:rPr>
        <w:t>обычно выше, чем в городах</w:t>
      </w:r>
      <w:r w:rsidR="008C7A93" w:rsidRPr="00DF1530">
        <w:rPr>
          <w:lang w:val="ru-RU"/>
        </w:rPr>
        <w:t xml:space="preserve">, </w:t>
      </w:r>
      <w:r w:rsidR="00C54E38" w:rsidRPr="00DF1530">
        <w:rPr>
          <w:lang w:val="ru-RU"/>
        </w:rPr>
        <w:t xml:space="preserve">что связано с отсутствием иных </w:t>
      </w:r>
      <w:r w:rsidR="0047268B" w:rsidRPr="00DF1530">
        <w:rPr>
          <w:lang w:val="ru-RU"/>
        </w:rPr>
        <w:t>возможност</w:t>
      </w:r>
      <w:r w:rsidR="00C54E38" w:rsidRPr="00DF1530">
        <w:rPr>
          <w:lang w:val="ru-RU"/>
        </w:rPr>
        <w:t>ей для занятости</w:t>
      </w:r>
      <w:r w:rsidR="008C7A93" w:rsidRPr="00DF1530">
        <w:rPr>
          <w:lang w:val="ru-RU"/>
        </w:rPr>
        <w:t xml:space="preserve">. </w:t>
      </w:r>
      <w:r w:rsidR="00976BC2" w:rsidRPr="00DF1530">
        <w:rPr>
          <w:lang w:val="ru-RU"/>
        </w:rPr>
        <w:t>Global Entrepreneurship Monitor</w:t>
      </w:r>
      <w:r w:rsidR="008C7A93" w:rsidRPr="00DF1530">
        <w:rPr>
          <w:lang w:val="ru-RU"/>
        </w:rPr>
        <w:t xml:space="preserve"> </w:t>
      </w:r>
      <w:r w:rsidR="00C54E38" w:rsidRPr="00DF1530">
        <w:rPr>
          <w:lang w:val="ru-RU"/>
        </w:rPr>
        <w:t xml:space="preserve">показывает, что показатели раннего этапа </w:t>
      </w:r>
      <w:r w:rsidR="00834072" w:rsidRPr="00DF1530">
        <w:rPr>
          <w:lang w:val="ru-RU"/>
        </w:rPr>
        <w:t>предпринимательск</w:t>
      </w:r>
      <w:r w:rsidR="00C54E38" w:rsidRPr="00DF1530">
        <w:rPr>
          <w:lang w:val="ru-RU"/>
        </w:rPr>
        <w:t>ой</w:t>
      </w:r>
      <w:r w:rsidR="00834072" w:rsidRPr="00DF1530">
        <w:rPr>
          <w:lang w:val="ru-RU"/>
        </w:rPr>
        <w:t xml:space="preserve"> деятельност</w:t>
      </w:r>
      <w:r w:rsidR="00C54E38" w:rsidRPr="00DF1530">
        <w:rPr>
          <w:lang w:val="ru-RU"/>
        </w:rPr>
        <w:t>и</w:t>
      </w:r>
      <w:r w:rsidR="008C7A93" w:rsidRPr="00DF1530">
        <w:rPr>
          <w:lang w:val="ru-RU"/>
        </w:rPr>
        <w:t xml:space="preserve"> (</w:t>
      </w:r>
      <w:r w:rsidR="00CB734F" w:rsidRPr="00DF1530">
        <w:rPr>
          <w:lang w:val="ru-RU"/>
        </w:rPr>
        <w:t>процент</w:t>
      </w:r>
      <w:r w:rsidR="008C7A93" w:rsidRPr="00DF1530">
        <w:rPr>
          <w:lang w:val="ru-RU"/>
        </w:rPr>
        <w:t xml:space="preserve"> </w:t>
      </w:r>
      <w:r w:rsidR="00C54E38" w:rsidRPr="00DF1530">
        <w:rPr>
          <w:lang w:val="ru-RU"/>
        </w:rPr>
        <w:t>населения, готовящиеся создать или создающие предприятие</w:t>
      </w:r>
      <w:r w:rsidR="008C7A93" w:rsidRPr="00DF1530">
        <w:rPr>
          <w:lang w:val="ru-RU"/>
        </w:rPr>
        <w:t xml:space="preserve">) </w:t>
      </w:r>
      <w:r w:rsidR="00592D7B" w:rsidRPr="00DF1530">
        <w:rPr>
          <w:lang w:val="ru-RU"/>
        </w:rPr>
        <w:t>также</w:t>
      </w:r>
      <w:r w:rsidR="008C7A93" w:rsidRPr="00DF1530">
        <w:rPr>
          <w:lang w:val="ru-RU"/>
        </w:rPr>
        <w:t xml:space="preserve"> </w:t>
      </w:r>
      <w:r w:rsidR="00C54E38" w:rsidRPr="00DF1530">
        <w:rPr>
          <w:lang w:val="ru-RU"/>
        </w:rPr>
        <w:t xml:space="preserve">ниже среднего показателя по </w:t>
      </w:r>
      <w:r w:rsidR="004F360C" w:rsidRPr="00DF1530">
        <w:rPr>
          <w:lang w:val="ru-RU"/>
        </w:rPr>
        <w:t>Российск</w:t>
      </w:r>
      <w:r w:rsidR="00C54E38" w:rsidRPr="00DF1530">
        <w:rPr>
          <w:lang w:val="ru-RU"/>
        </w:rPr>
        <w:t>ой</w:t>
      </w:r>
      <w:r w:rsidR="005E53F2" w:rsidRPr="00DF1530">
        <w:rPr>
          <w:lang w:val="ru-RU"/>
        </w:rPr>
        <w:t xml:space="preserve"> Федераци</w:t>
      </w:r>
      <w:r w:rsidR="00C54E38" w:rsidRPr="00DF1530">
        <w:rPr>
          <w:lang w:val="ru-RU"/>
        </w:rPr>
        <w:t>и</w:t>
      </w:r>
      <w:r w:rsidR="008C7A93" w:rsidRPr="00DF1530">
        <w:rPr>
          <w:lang w:val="ru-RU"/>
        </w:rPr>
        <w:t xml:space="preserve"> </w:t>
      </w:r>
      <w:r w:rsidR="00C54E38" w:rsidRPr="00DF1530">
        <w:rPr>
          <w:lang w:val="ru-RU"/>
        </w:rPr>
        <w:t xml:space="preserve">в населенных пунктах с менее чем </w:t>
      </w:r>
      <w:r w:rsidR="008C7A93" w:rsidRPr="00DF1530">
        <w:rPr>
          <w:lang w:val="ru-RU"/>
        </w:rPr>
        <w:t xml:space="preserve">100 000 </w:t>
      </w:r>
      <w:r w:rsidR="00C54E38" w:rsidRPr="00DF1530">
        <w:rPr>
          <w:lang w:val="ru-RU"/>
        </w:rPr>
        <w:t>жителей</w:t>
      </w:r>
      <w:r w:rsidR="008C7A93" w:rsidRPr="00DF1530">
        <w:rPr>
          <w:lang w:val="ru-RU"/>
        </w:rPr>
        <w:t xml:space="preserve">. </w:t>
      </w:r>
      <w:r w:rsidR="00C54E38" w:rsidRPr="00DF1530">
        <w:rPr>
          <w:lang w:val="ru-RU"/>
        </w:rPr>
        <w:t xml:space="preserve">Эти данные указывают на необходимость более сильной политики по </w:t>
      </w:r>
      <w:r w:rsidR="00C54E38" w:rsidRPr="00DF1530">
        <w:rPr>
          <w:lang w:val="ru-RU"/>
        </w:rPr>
        <w:lastRenderedPageBreak/>
        <w:t xml:space="preserve">стимулированию развития </w:t>
      </w:r>
      <w:r w:rsidR="00834072" w:rsidRPr="00DF1530">
        <w:rPr>
          <w:lang w:val="ru-RU"/>
        </w:rPr>
        <w:t>МСП</w:t>
      </w:r>
      <w:r w:rsidR="008C7A93" w:rsidRPr="00DF1530">
        <w:rPr>
          <w:lang w:val="ru-RU"/>
        </w:rPr>
        <w:t xml:space="preserve"> </w:t>
      </w:r>
      <w:r w:rsidR="00C54E38" w:rsidRPr="00DF1530">
        <w:rPr>
          <w:lang w:val="ru-RU"/>
        </w:rPr>
        <w:t>в сельских районах</w:t>
      </w:r>
      <w:r w:rsidR="008C7A93" w:rsidRPr="00DF1530">
        <w:rPr>
          <w:lang w:val="ru-RU"/>
        </w:rPr>
        <w:t xml:space="preserve">. </w:t>
      </w:r>
      <w:r w:rsidR="00C54E38" w:rsidRPr="00DF1530">
        <w:rPr>
          <w:lang w:val="ru-RU"/>
        </w:rPr>
        <w:t>Такие же меры требуются в городах с градообразующими предприятиями</w:t>
      </w:r>
      <w:r w:rsidR="008C7A93" w:rsidRPr="00DF1530">
        <w:rPr>
          <w:lang w:val="ru-RU"/>
        </w:rPr>
        <w:t xml:space="preserve">. </w:t>
      </w:r>
      <w:r w:rsidR="00C54E38" w:rsidRPr="00DF1530">
        <w:rPr>
          <w:lang w:val="ru-RU"/>
        </w:rPr>
        <w:t xml:space="preserve">В этих населенных пунктах население работало на крупных государственных заводах, и там трудно восстановить экономическую </w:t>
      </w:r>
      <w:r w:rsidR="00006C0D" w:rsidRPr="00DF1530">
        <w:rPr>
          <w:lang w:val="ru-RU"/>
        </w:rPr>
        <w:t xml:space="preserve">активность </w:t>
      </w:r>
      <w:r w:rsidR="00C54E38" w:rsidRPr="00DF1530">
        <w:rPr>
          <w:lang w:val="ru-RU"/>
        </w:rPr>
        <w:t>путем создания новых предприятий</w:t>
      </w:r>
      <w:r w:rsidR="008C7A93" w:rsidRPr="00DF1530">
        <w:rPr>
          <w:lang w:val="ru-RU"/>
        </w:rPr>
        <w:t>.</w:t>
      </w:r>
    </w:p>
    <w:p w:rsidR="008C7A93" w:rsidRPr="00DF1530" w:rsidRDefault="000855A8" w:rsidP="008C7A93">
      <w:pPr>
        <w:pStyle w:val="31"/>
        <w:rPr>
          <w:lang w:val="ru-RU"/>
        </w:rPr>
      </w:pPr>
      <w:r w:rsidRPr="00DF1530">
        <w:rPr>
          <w:lang w:val="ru-RU"/>
        </w:rPr>
        <w:t>Региональные</w:t>
      </w:r>
      <w:r w:rsidR="008C7A93" w:rsidRPr="00DF1530">
        <w:rPr>
          <w:lang w:val="ru-RU"/>
        </w:rPr>
        <w:t xml:space="preserve"> </w:t>
      </w:r>
      <w:r w:rsidRPr="00DF1530">
        <w:rPr>
          <w:lang w:val="ru-RU"/>
        </w:rPr>
        <w:t>отличия</w:t>
      </w:r>
      <w:r w:rsidR="008C7A93" w:rsidRPr="00DF1530">
        <w:rPr>
          <w:lang w:val="ru-RU"/>
        </w:rPr>
        <w:t xml:space="preserve"> </w:t>
      </w:r>
      <w:r w:rsidRPr="00DF1530">
        <w:rPr>
          <w:lang w:val="ru-RU"/>
        </w:rPr>
        <w:t xml:space="preserve">в </w:t>
      </w:r>
      <w:r w:rsidR="00F14910" w:rsidRPr="00DF1530">
        <w:rPr>
          <w:lang w:val="ru-RU"/>
        </w:rPr>
        <w:t>барьер</w:t>
      </w:r>
      <w:r w:rsidRPr="00DF1530">
        <w:rPr>
          <w:lang w:val="ru-RU"/>
        </w:rPr>
        <w:t>ах для</w:t>
      </w:r>
      <w:r w:rsidR="008C7A93" w:rsidRPr="00DF1530">
        <w:rPr>
          <w:lang w:val="ru-RU"/>
        </w:rPr>
        <w:t xml:space="preserve"> </w:t>
      </w:r>
      <w:r w:rsidRPr="00DF1530">
        <w:rPr>
          <w:lang w:val="ru-RU"/>
        </w:rPr>
        <w:t xml:space="preserve">развития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95</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0855A8" w:rsidRPr="00DF1530">
        <w:rPr>
          <w:lang w:val="ru-RU"/>
        </w:rPr>
        <w:t xml:space="preserve">Согласно </w:t>
      </w:r>
      <w:r w:rsidR="004750CA" w:rsidRPr="00DF1530">
        <w:rPr>
          <w:lang w:val="ru-RU"/>
        </w:rPr>
        <w:t>и</w:t>
      </w:r>
      <w:r w:rsidR="000855A8" w:rsidRPr="00DF1530">
        <w:rPr>
          <w:lang w:val="ru-RU"/>
        </w:rPr>
        <w:t xml:space="preserve">сследованию </w:t>
      </w:r>
      <w:r w:rsidR="004750CA" w:rsidRPr="00DF1530">
        <w:rPr>
          <w:lang w:val="ru-RU"/>
        </w:rPr>
        <w:t xml:space="preserve">Всемирного банка </w:t>
      </w:r>
      <w:r w:rsidR="000855A8" w:rsidRPr="00DF1530">
        <w:rPr>
          <w:lang w:val="ru-RU"/>
        </w:rPr>
        <w:t xml:space="preserve">по предприятиям от </w:t>
      </w:r>
      <w:r w:rsidR="008C7A93" w:rsidRPr="00DF1530">
        <w:rPr>
          <w:lang w:val="ru-RU"/>
        </w:rPr>
        <w:t>2012</w:t>
      </w:r>
      <w:r w:rsidR="000855A8" w:rsidRPr="00DF1530">
        <w:rPr>
          <w:lang w:val="ru-RU"/>
        </w:rPr>
        <w:t xml:space="preserve"> года</w:t>
      </w:r>
      <w:r w:rsidR="008C7A93" w:rsidRPr="00DF1530">
        <w:rPr>
          <w:lang w:val="ru-RU"/>
        </w:rPr>
        <w:t xml:space="preserve">, </w:t>
      </w:r>
      <w:r w:rsidR="000855A8" w:rsidRPr="00DF1530">
        <w:rPr>
          <w:lang w:val="ru-RU"/>
        </w:rPr>
        <w:t xml:space="preserve">в котором изучалось восприятие предприятиями условий для развития предпринимательской деятельности в </w:t>
      </w:r>
      <w:r w:rsidR="008C7A93" w:rsidRPr="00DF1530">
        <w:rPr>
          <w:lang w:val="ru-RU"/>
        </w:rPr>
        <w:t xml:space="preserve">37 </w:t>
      </w:r>
      <w:r w:rsidR="000855A8" w:rsidRPr="00DF1530">
        <w:rPr>
          <w:lang w:val="ru-RU"/>
        </w:rPr>
        <w:t xml:space="preserve">регионах </w:t>
      </w:r>
      <w:r w:rsidR="00701FAE" w:rsidRPr="00DF1530">
        <w:rPr>
          <w:lang w:val="ru-RU"/>
        </w:rPr>
        <w:t>Российской Федерации</w:t>
      </w:r>
      <w:r w:rsidR="008C7A93" w:rsidRPr="00DF1530">
        <w:rPr>
          <w:lang w:val="ru-RU"/>
        </w:rPr>
        <w:t xml:space="preserve">, </w:t>
      </w:r>
      <w:r w:rsidR="00F57C77" w:rsidRPr="00DF1530">
        <w:rPr>
          <w:lang w:val="ru-RU"/>
        </w:rPr>
        <w:t>имеется некотор</w:t>
      </w:r>
      <w:r w:rsidR="004750CA" w:rsidRPr="00DF1530">
        <w:rPr>
          <w:lang w:val="ru-RU"/>
        </w:rPr>
        <w:t>а</w:t>
      </w:r>
      <w:r w:rsidR="00F57C77" w:rsidRPr="00DF1530">
        <w:rPr>
          <w:lang w:val="ru-RU"/>
        </w:rPr>
        <w:t>я определенная схожесть между российскими регионами в том, что представляется основными препятствиями для развития предпринимательской деятельности</w:t>
      </w:r>
      <w:r w:rsidR="008C7A93" w:rsidRPr="00DF1530">
        <w:rPr>
          <w:lang w:val="ru-RU"/>
        </w:rPr>
        <w:t xml:space="preserve">. </w:t>
      </w:r>
      <w:r w:rsidR="00F57C77" w:rsidRPr="00DF1530">
        <w:rPr>
          <w:lang w:val="ru-RU"/>
        </w:rPr>
        <w:t>В большинстве регионов основными препятствиями чаще всего называли ставки налогообложения</w:t>
      </w:r>
      <w:r w:rsidR="008C7A93" w:rsidRPr="00DF1530">
        <w:rPr>
          <w:lang w:val="ru-RU"/>
        </w:rPr>
        <w:t xml:space="preserve">, </w:t>
      </w:r>
      <w:r w:rsidR="00F57C77" w:rsidRPr="00DF1530">
        <w:rPr>
          <w:lang w:val="ru-RU"/>
        </w:rPr>
        <w:t>наличие квалифицированной рабочей силы и доступ к финансированию</w:t>
      </w:r>
      <w:r w:rsidR="008C7A93" w:rsidRPr="00DF1530">
        <w:rPr>
          <w:lang w:val="ru-RU"/>
        </w:rPr>
        <w:t xml:space="preserve">, </w:t>
      </w:r>
      <w:r w:rsidR="00F57C77" w:rsidRPr="00DF1530">
        <w:rPr>
          <w:lang w:val="ru-RU"/>
        </w:rPr>
        <w:t xml:space="preserve">тогда как </w:t>
      </w:r>
      <w:r w:rsidR="00AC6CBB" w:rsidRPr="00DF1530">
        <w:rPr>
          <w:lang w:val="ru-RU"/>
        </w:rPr>
        <w:t>инфраструктура</w:t>
      </w:r>
      <w:r w:rsidR="008C7A93" w:rsidRPr="00DF1530">
        <w:rPr>
          <w:lang w:val="ru-RU"/>
        </w:rPr>
        <w:t xml:space="preserve"> </w:t>
      </w:r>
      <w:r w:rsidR="00F57C77" w:rsidRPr="00DF1530">
        <w:rPr>
          <w:lang w:val="ru-RU"/>
        </w:rPr>
        <w:t>и регулирование обычно не представляли проблемы</w:t>
      </w:r>
      <w:r w:rsidR="008C7A93" w:rsidRPr="00DF1530">
        <w:rPr>
          <w:lang w:val="ru-RU"/>
        </w:rPr>
        <w:t xml:space="preserve">. </w:t>
      </w:r>
      <w:r w:rsidR="007C68D2" w:rsidRPr="00DF1530">
        <w:rPr>
          <w:lang w:val="ru-RU"/>
        </w:rPr>
        <w:t>Однако</w:t>
      </w:r>
      <w:r w:rsidR="008C7A93" w:rsidRPr="00DF1530">
        <w:rPr>
          <w:lang w:val="ru-RU"/>
        </w:rPr>
        <w:t xml:space="preserve"> </w:t>
      </w:r>
      <w:r w:rsidR="00F57C77" w:rsidRPr="00DF1530">
        <w:rPr>
          <w:lang w:val="ru-RU"/>
        </w:rPr>
        <w:t xml:space="preserve">были </w:t>
      </w:r>
      <w:r w:rsidR="00592D7B" w:rsidRPr="00DF1530">
        <w:rPr>
          <w:lang w:val="ru-RU"/>
        </w:rPr>
        <w:t>также</w:t>
      </w:r>
      <w:r w:rsidR="008C7A93" w:rsidRPr="00DF1530">
        <w:rPr>
          <w:lang w:val="ru-RU"/>
        </w:rPr>
        <w:t xml:space="preserve"> </w:t>
      </w:r>
      <w:r w:rsidR="00F57C77" w:rsidRPr="00DF1530">
        <w:rPr>
          <w:lang w:val="ru-RU"/>
        </w:rPr>
        <w:t xml:space="preserve">некоторые </w:t>
      </w:r>
      <w:r w:rsidR="00834072" w:rsidRPr="00DF1530">
        <w:rPr>
          <w:lang w:val="ru-RU"/>
        </w:rPr>
        <w:t>значительны</w:t>
      </w:r>
      <w:r w:rsidR="00F57C77" w:rsidRPr="00DF1530">
        <w:rPr>
          <w:lang w:val="ru-RU"/>
        </w:rPr>
        <w:t>е</w:t>
      </w:r>
      <w:r w:rsidR="008C7A93" w:rsidRPr="00DF1530">
        <w:rPr>
          <w:lang w:val="ru-RU"/>
        </w:rPr>
        <w:t xml:space="preserve"> </w:t>
      </w:r>
      <w:r w:rsidR="00F57C77" w:rsidRPr="00DF1530">
        <w:rPr>
          <w:lang w:val="ru-RU"/>
        </w:rPr>
        <w:t xml:space="preserve">отличия между регионами в том, в какой степени различные </w:t>
      </w:r>
      <w:r w:rsidR="008F2340" w:rsidRPr="00DF1530">
        <w:rPr>
          <w:lang w:val="ru-RU"/>
        </w:rPr>
        <w:t>системные условия</w:t>
      </w:r>
      <w:r w:rsidR="008C7A93" w:rsidRPr="00DF1530">
        <w:rPr>
          <w:lang w:val="ru-RU"/>
        </w:rPr>
        <w:t xml:space="preserve"> </w:t>
      </w:r>
      <w:r w:rsidR="00F57C77" w:rsidRPr="00DF1530">
        <w:rPr>
          <w:lang w:val="ru-RU"/>
        </w:rPr>
        <w:t xml:space="preserve">сдерживают развитие </w:t>
      </w:r>
      <w:r w:rsidR="00297F6F" w:rsidRPr="00DF1530">
        <w:rPr>
          <w:lang w:val="ru-RU"/>
        </w:rPr>
        <w:t>предприяти</w:t>
      </w:r>
      <w:r w:rsidR="00F57C77" w:rsidRPr="00DF1530">
        <w:rPr>
          <w:lang w:val="ru-RU"/>
        </w:rPr>
        <w:t>й</w:t>
      </w:r>
      <w:r w:rsidR="008C7A93" w:rsidRPr="00DF1530">
        <w:rPr>
          <w:lang w:val="ru-RU"/>
        </w:rPr>
        <w:t xml:space="preserve">. </w:t>
      </w:r>
      <w:r w:rsidR="00592D7B" w:rsidRPr="00DF1530">
        <w:rPr>
          <w:lang w:val="ru-RU"/>
        </w:rPr>
        <w:t>К примеру</w:t>
      </w:r>
      <w:r w:rsidR="008C7A93" w:rsidRPr="00DF1530">
        <w:rPr>
          <w:lang w:val="ru-RU"/>
        </w:rPr>
        <w:t xml:space="preserve">, </w:t>
      </w:r>
      <w:r w:rsidR="00F57C77" w:rsidRPr="00DF1530">
        <w:rPr>
          <w:lang w:val="ru-RU"/>
        </w:rPr>
        <w:t xml:space="preserve">меньше </w:t>
      </w:r>
      <w:r w:rsidR="008C7A93" w:rsidRPr="00DF1530">
        <w:rPr>
          <w:lang w:val="ru-RU"/>
        </w:rPr>
        <w:t xml:space="preserve">10% </w:t>
      </w:r>
      <w:r w:rsidR="00297F6F" w:rsidRPr="00DF1530">
        <w:rPr>
          <w:lang w:val="ru-RU"/>
        </w:rPr>
        <w:t>предприяти</w:t>
      </w:r>
      <w:r w:rsidR="00F57C77" w:rsidRPr="00DF1530">
        <w:rPr>
          <w:lang w:val="ru-RU"/>
        </w:rPr>
        <w:t>й</w:t>
      </w:r>
      <w:r w:rsidR="008C7A93" w:rsidRPr="00DF1530">
        <w:rPr>
          <w:lang w:val="ru-RU"/>
        </w:rPr>
        <w:t xml:space="preserve"> </w:t>
      </w:r>
      <w:r w:rsidR="00F57C77" w:rsidRPr="00DF1530">
        <w:rPr>
          <w:lang w:val="ru-RU"/>
        </w:rPr>
        <w:t>имеют доступ к банковскому кредиту в</w:t>
      </w:r>
      <w:r w:rsidR="008C7A93" w:rsidRPr="00DF1530">
        <w:rPr>
          <w:lang w:val="ru-RU"/>
        </w:rPr>
        <w:t xml:space="preserve"> </w:t>
      </w:r>
      <w:r w:rsidR="00F57C77" w:rsidRPr="00DF1530">
        <w:rPr>
          <w:lang w:val="ru-RU"/>
        </w:rPr>
        <w:t>Смоленске</w:t>
      </w:r>
      <w:r w:rsidR="008C7A93" w:rsidRPr="00DF1530">
        <w:rPr>
          <w:lang w:val="ru-RU"/>
        </w:rPr>
        <w:t xml:space="preserve">, </w:t>
      </w:r>
      <w:r w:rsidR="00F57C77" w:rsidRPr="00DF1530">
        <w:rPr>
          <w:lang w:val="ru-RU"/>
        </w:rPr>
        <w:t>Кирове</w:t>
      </w:r>
      <w:r w:rsidR="008C7A93" w:rsidRPr="00DF1530">
        <w:rPr>
          <w:lang w:val="ru-RU"/>
        </w:rPr>
        <w:t xml:space="preserve">, </w:t>
      </w:r>
      <w:r w:rsidR="00F57C77" w:rsidRPr="00DF1530">
        <w:rPr>
          <w:lang w:val="ru-RU"/>
        </w:rPr>
        <w:t>Нижнем Новгороде и Иркутске</w:t>
      </w:r>
      <w:r w:rsidR="008C7A93" w:rsidRPr="00DF1530">
        <w:rPr>
          <w:lang w:val="ru-RU"/>
        </w:rPr>
        <w:t xml:space="preserve">. </w:t>
      </w:r>
      <w:r w:rsidR="00817F0C" w:rsidRPr="00DF1530">
        <w:rPr>
          <w:lang w:val="ru-RU"/>
        </w:rPr>
        <w:t xml:space="preserve">Меньше </w:t>
      </w:r>
      <w:r w:rsidR="008C7A93" w:rsidRPr="00DF1530">
        <w:rPr>
          <w:lang w:val="ru-RU"/>
        </w:rPr>
        <w:t xml:space="preserve">30% </w:t>
      </w:r>
      <w:r w:rsidR="00817F0C" w:rsidRPr="00DF1530">
        <w:rPr>
          <w:lang w:val="ru-RU"/>
        </w:rPr>
        <w:t>предприятий предлагают формальное обучение в Смоленске</w:t>
      </w:r>
      <w:r w:rsidR="008C7A93" w:rsidRPr="00DF1530">
        <w:rPr>
          <w:lang w:val="ru-RU"/>
        </w:rPr>
        <w:t xml:space="preserve">, </w:t>
      </w:r>
      <w:r w:rsidR="00817F0C" w:rsidRPr="00DF1530">
        <w:rPr>
          <w:lang w:val="ru-RU"/>
        </w:rPr>
        <w:t>Ростове</w:t>
      </w:r>
      <w:r w:rsidR="008C7A93" w:rsidRPr="00DF1530">
        <w:rPr>
          <w:lang w:val="ru-RU"/>
        </w:rPr>
        <w:t xml:space="preserve">, </w:t>
      </w:r>
      <w:r w:rsidR="00817F0C" w:rsidRPr="00DF1530">
        <w:rPr>
          <w:lang w:val="ru-RU"/>
        </w:rPr>
        <w:t>Мурманске</w:t>
      </w:r>
      <w:r w:rsidR="008C7A93" w:rsidRPr="00DF1530">
        <w:rPr>
          <w:lang w:val="ru-RU"/>
        </w:rPr>
        <w:t xml:space="preserve">, </w:t>
      </w:r>
      <w:r w:rsidR="00817F0C" w:rsidRPr="00DF1530">
        <w:rPr>
          <w:lang w:val="ru-RU"/>
        </w:rPr>
        <w:t>Красноярске</w:t>
      </w:r>
      <w:r w:rsidR="008C7A93" w:rsidRPr="00DF1530">
        <w:rPr>
          <w:lang w:val="ru-RU"/>
        </w:rPr>
        <w:t xml:space="preserve">, </w:t>
      </w:r>
      <w:r w:rsidR="00817F0C" w:rsidRPr="00DF1530">
        <w:rPr>
          <w:lang w:val="ru-RU"/>
        </w:rPr>
        <w:t>Нижнем Новгороде</w:t>
      </w:r>
      <w:r w:rsidR="008C7A93" w:rsidRPr="00DF1530">
        <w:rPr>
          <w:lang w:val="ru-RU"/>
        </w:rPr>
        <w:t xml:space="preserve">, </w:t>
      </w:r>
      <w:r w:rsidR="00817F0C" w:rsidRPr="00DF1530">
        <w:rPr>
          <w:lang w:val="ru-RU"/>
        </w:rPr>
        <w:t>Кирове и Новосибирске</w:t>
      </w:r>
      <w:r w:rsidR="008C7A93" w:rsidRPr="00DF1530">
        <w:rPr>
          <w:lang w:val="ru-RU"/>
        </w:rPr>
        <w:t xml:space="preserve">. </w:t>
      </w:r>
      <w:r w:rsidR="00817F0C" w:rsidRPr="00DF1530">
        <w:rPr>
          <w:lang w:val="ru-RU"/>
        </w:rPr>
        <w:t>Исправление этой ситуации должно быть основным приоритетом политики в каждом из указанных регионов</w:t>
      </w:r>
      <w:r w:rsidR="008C7A93" w:rsidRPr="00DF1530">
        <w:rPr>
          <w:lang w:val="ru-RU"/>
        </w:rPr>
        <w:t xml:space="preserve">. </w:t>
      </w:r>
      <w:r w:rsidR="00817F0C" w:rsidRPr="00DF1530">
        <w:rPr>
          <w:lang w:val="ru-RU"/>
        </w:rPr>
        <w:t xml:space="preserve">Есть </w:t>
      </w:r>
      <w:r w:rsidR="00592D7B" w:rsidRPr="00DF1530">
        <w:rPr>
          <w:lang w:val="ru-RU"/>
        </w:rPr>
        <w:t>также</w:t>
      </w:r>
      <w:r w:rsidR="008C7A93" w:rsidRPr="00DF1530">
        <w:rPr>
          <w:lang w:val="ru-RU"/>
        </w:rPr>
        <w:t xml:space="preserve"> </w:t>
      </w:r>
      <w:r w:rsidR="00817F0C" w:rsidRPr="00DF1530">
        <w:rPr>
          <w:lang w:val="ru-RU"/>
        </w:rPr>
        <w:t xml:space="preserve">свидетельства </w:t>
      </w:r>
      <w:r w:rsidR="00834072" w:rsidRPr="00DF1530">
        <w:rPr>
          <w:lang w:val="ru-RU"/>
        </w:rPr>
        <w:t>значительны</w:t>
      </w:r>
      <w:r w:rsidR="00817F0C" w:rsidRPr="00DF1530">
        <w:rPr>
          <w:lang w:val="ru-RU"/>
        </w:rPr>
        <w:t>х</w:t>
      </w:r>
      <w:r w:rsidR="008C7A93" w:rsidRPr="00DF1530">
        <w:rPr>
          <w:lang w:val="ru-RU"/>
        </w:rPr>
        <w:t xml:space="preserve"> </w:t>
      </w:r>
      <w:r w:rsidR="000855A8" w:rsidRPr="00DF1530">
        <w:rPr>
          <w:lang w:val="ru-RU"/>
        </w:rPr>
        <w:t>отличи</w:t>
      </w:r>
      <w:r w:rsidR="00817F0C" w:rsidRPr="00DF1530">
        <w:rPr>
          <w:lang w:val="ru-RU"/>
        </w:rPr>
        <w:t>й</w:t>
      </w:r>
      <w:r w:rsidR="008C7A93" w:rsidRPr="00DF1530">
        <w:rPr>
          <w:lang w:val="ru-RU"/>
        </w:rPr>
        <w:t xml:space="preserve"> </w:t>
      </w:r>
      <w:r w:rsidR="00817F0C" w:rsidRPr="00DF1530">
        <w:rPr>
          <w:lang w:val="ru-RU"/>
        </w:rPr>
        <w:t xml:space="preserve">между российскими городами в условиях </w:t>
      </w:r>
      <w:r w:rsidR="00796122" w:rsidRPr="00DF1530">
        <w:rPr>
          <w:lang w:val="ru-RU"/>
        </w:rPr>
        <w:t>регул</w:t>
      </w:r>
      <w:r w:rsidR="00817F0C" w:rsidRPr="00DF1530">
        <w:rPr>
          <w:lang w:val="ru-RU"/>
        </w:rPr>
        <w:t>ирования,</w:t>
      </w:r>
      <w:r w:rsidR="008C7A93" w:rsidRPr="00DF1530">
        <w:rPr>
          <w:lang w:val="ru-RU"/>
        </w:rPr>
        <w:t xml:space="preserve"> </w:t>
      </w:r>
      <w:r w:rsidR="00817F0C" w:rsidRPr="00DF1530">
        <w:rPr>
          <w:lang w:val="ru-RU"/>
        </w:rPr>
        <w:t>влияющего на возможность беспрепятственного осуществления предпринимательской деятельности</w:t>
      </w:r>
      <w:r w:rsidR="008C7A93" w:rsidRPr="00DF1530">
        <w:rPr>
          <w:lang w:val="ru-RU"/>
        </w:rPr>
        <w:t xml:space="preserve">; </w:t>
      </w:r>
      <w:r w:rsidR="00817F0C" w:rsidRPr="00DF1530">
        <w:rPr>
          <w:lang w:val="ru-RU"/>
        </w:rPr>
        <w:t xml:space="preserve">индекс </w:t>
      </w:r>
      <w:r w:rsidR="00175A0E" w:rsidRPr="00DF1530">
        <w:rPr>
          <w:lang w:val="ru-RU"/>
        </w:rPr>
        <w:t>Всемирного банка</w:t>
      </w:r>
      <w:r w:rsidR="008C7A93" w:rsidRPr="00DF1530">
        <w:rPr>
          <w:lang w:val="ru-RU"/>
        </w:rPr>
        <w:t xml:space="preserve"> Doing Business </w:t>
      </w:r>
      <w:r w:rsidR="00817F0C" w:rsidRPr="00DF1530">
        <w:rPr>
          <w:lang w:val="ru-RU"/>
        </w:rPr>
        <w:t xml:space="preserve">показывает, что наиболее благоприятные условия регулирования в Ульяновске и Саранске, а наименее благоприятные </w:t>
      </w:r>
      <w:r w:rsidR="00BD465D" w:rsidRPr="00DF1530">
        <w:rPr>
          <w:lang w:val="ru-RU"/>
        </w:rPr>
        <w:t xml:space="preserve">– </w:t>
      </w:r>
      <w:r w:rsidR="00817F0C" w:rsidRPr="00DF1530">
        <w:rPr>
          <w:lang w:val="ru-RU"/>
        </w:rPr>
        <w:t xml:space="preserve">в </w:t>
      </w:r>
      <w:r w:rsidR="00B93F34" w:rsidRPr="00DF1530">
        <w:rPr>
          <w:lang w:val="ru-RU"/>
        </w:rPr>
        <w:t>Москв</w:t>
      </w:r>
      <w:r w:rsidR="00817F0C" w:rsidRPr="00DF1530">
        <w:rPr>
          <w:lang w:val="ru-RU"/>
        </w:rPr>
        <w:t>е и Новосибирске</w:t>
      </w:r>
      <w:r w:rsidR="008C7A93" w:rsidRPr="00DF1530">
        <w:rPr>
          <w:lang w:val="ru-RU"/>
        </w:rPr>
        <w:t xml:space="preserve">. </w:t>
      </w:r>
    </w:p>
    <w:p w:rsidR="008C7A93" w:rsidRPr="00DF1530" w:rsidRDefault="00592D7B" w:rsidP="008C7A93">
      <w:pPr>
        <w:pStyle w:val="FigureTitle"/>
        <w:rPr>
          <w:lang w:val="ru-RU"/>
        </w:rPr>
      </w:pPr>
      <w:r w:rsidRPr="00DF1530">
        <w:rPr>
          <w:lang w:val="ru-RU"/>
        </w:rPr>
        <w:lastRenderedPageBreak/>
        <w:t>Рисунок</w:t>
      </w:r>
      <w:r w:rsidR="008C7A93" w:rsidRPr="00DF1530">
        <w:rPr>
          <w:lang w:val="ru-RU"/>
        </w:rPr>
        <w:t xml:space="preserve"> 1.16 </w:t>
      </w:r>
      <w:r w:rsidR="004750CA" w:rsidRPr="00DF1530">
        <w:rPr>
          <w:lang w:val="ru-RU"/>
        </w:rPr>
        <w:t>Регионы</w:t>
      </w:r>
      <w:r w:rsidR="008C7A93" w:rsidRPr="00DF1530">
        <w:rPr>
          <w:lang w:val="ru-RU"/>
        </w:rPr>
        <w:t xml:space="preserve"> </w:t>
      </w:r>
      <w:r w:rsidR="004750CA" w:rsidRPr="00DF1530">
        <w:rPr>
          <w:lang w:val="ru-RU"/>
        </w:rPr>
        <w:t xml:space="preserve">с менее благоприятными </w:t>
      </w:r>
      <w:r w:rsidR="008F2340" w:rsidRPr="00DF1530">
        <w:rPr>
          <w:lang w:val="ru-RU"/>
        </w:rPr>
        <w:t>системны</w:t>
      </w:r>
      <w:r w:rsidR="004750CA" w:rsidRPr="00DF1530">
        <w:rPr>
          <w:lang w:val="ru-RU"/>
        </w:rPr>
        <w:t>ми</w:t>
      </w:r>
      <w:r w:rsidR="008F2340" w:rsidRPr="00DF1530">
        <w:rPr>
          <w:lang w:val="ru-RU"/>
        </w:rPr>
        <w:t xml:space="preserve"> условия</w:t>
      </w:r>
      <w:r w:rsidR="004750CA" w:rsidRPr="00DF1530">
        <w:rPr>
          <w:lang w:val="ru-RU"/>
        </w:rPr>
        <w:t>ми</w:t>
      </w:r>
      <w:r w:rsidR="008C7A93" w:rsidRPr="00DF1530">
        <w:rPr>
          <w:lang w:val="ru-RU"/>
        </w:rPr>
        <w:t xml:space="preserve">, </w:t>
      </w:r>
      <w:r w:rsidR="004750CA" w:rsidRPr="00DF1530">
        <w:rPr>
          <w:lang w:val="ru-RU"/>
        </w:rPr>
        <w:t>отдельные регионы</w:t>
      </w:r>
      <w:r w:rsidR="008C7A93" w:rsidRPr="00DF1530">
        <w:rPr>
          <w:lang w:val="ru-RU"/>
        </w:rPr>
        <w:t xml:space="preserve">, </w:t>
      </w:r>
      <w:r w:rsidR="005E53F2" w:rsidRPr="00DF1530">
        <w:rPr>
          <w:lang w:val="ru-RU"/>
        </w:rPr>
        <w:t>Российская Федерация</w:t>
      </w:r>
      <w:r w:rsidR="008C7A93" w:rsidRPr="00DF1530">
        <w:rPr>
          <w:lang w:val="ru-RU"/>
        </w:rPr>
        <w:t>, 2012</w:t>
      </w:r>
      <w:r w:rsidR="004750CA" w:rsidRPr="00DF1530">
        <w:rPr>
          <w:lang w:val="ru-RU"/>
        </w:rPr>
        <w:t xml:space="preserve"> г.</w:t>
      </w:r>
      <w:r w:rsidR="009030BD" w:rsidRPr="00DF1530">
        <w:rPr>
          <w:lang w:val="ru-RU"/>
        </w:rPr>
        <w:fldChar w:fldCharType="begin"/>
      </w:r>
      <w:r w:rsidR="008C7A93" w:rsidRPr="00DF1530">
        <w:rPr>
          <w:lang w:val="ru-RU"/>
        </w:rPr>
        <w:instrText xml:space="preserve"> TC \f f \l 2 "Figure 1.16 Regions lagging behind in framework conditions, selected regions, Russian Federation, 2012"  </w:instrText>
      </w:r>
      <w:r w:rsidR="009030BD" w:rsidRPr="00DF1530">
        <w:rPr>
          <w:lang w:val="ru-RU"/>
        </w:rPr>
        <w:fldChar w:fldCharType="end"/>
      </w:r>
    </w:p>
    <w:p w:rsidR="008C7A93" w:rsidRPr="00DF1530" w:rsidRDefault="008C7A93" w:rsidP="008C7A93">
      <w:pPr>
        <w:pStyle w:val="Graphic"/>
        <w:keepNext/>
        <w:keepLines/>
        <w:rPr>
          <w:lang w:val="ru-RU"/>
        </w:rPr>
      </w:pPr>
      <w:r w:rsidRPr="00DF1530">
        <w:rPr>
          <w:noProof/>
          <w:lang w:val="ru-RU" w:eastAsia="ru-RU"/>
        </w:rPr>
        <w:drawing>
          <wp:inline distT="0" distB="0" distL="0" distR="0">
            <wp:extent cx="5760720" cy="6492387"/>
            <wp:effectExtent l="0" t="0" r="11430" b="228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B3D1A" w:rsidRPr="00DF1530" w:rsidRDefault="00FB3D1A" w:rsidP="008C7A93">
      <w:pPr>
        <w:pStyle w:val="FigureNote"/>
        <w:keepNext/>
        <w:keepLines/>
        <w:rPr>
          <w:lang w:val="ru-RU"/>
        </w:rPr>
      </w:pPr>
      <w:r w:rsidRPr="00DF1530">
        <w:rPr>
          <w:lang w:val="ru-RU"/>
        </w:rPr>
        <w:t>Доступ к финансированию</w:t>
      </w:r>
    </w:p>
    <w:p w:rsidR="00FB3D1A" w:rsidRPr="00DF1530" w:rsidRDefault="00FB3D1A" w:rsidP="008C7A93">
      <w:pPr>
        <w:pStyle w:val="FigureNote"/>
        <w:keepNext/>
        <w:keepLines/>
        <w:rPr>
          <w:lang w:val="ru-RU"/>
        </w:rPr>
      </w:pPr>
      <w:r w:rsidRPr="00DF1530">
        <w:rPr>
          <w:lang w:val="ru-RU"/>
        </w:rPr>
        <w:t xml:space="preserve">Недостаточная </w:t>
      </w:r>
      <w:r w:rsidR="00816F72" w:rsidRPr="00DF1530">
        <w:rPr>
          <w:lang w:val="ru-RU"/>
        </w:rPr>
        <w:t>квалификация</w:t>
      </w:r>
      <w:r w:rsidRPr="00DF1530">
        <w:rPr>
          <w:lang w:val="ru-RU"/>
        </w:rPr>
        <w:t xml:space="preserve"> рабочей силы</w:t>
      </w:r>
    </w:p>
    <w:p w:rsidR="00FB3D1A" w:rsidRPr="00DF1530" w:rsidRDefault="00FB3D1A" w:rsidP="008C7A93">
      <w:pPr>
        <w:pStyle w:val="FigureNote"/>
        <w:keepNext/>
        <w:keepLines/>
        <w:rPr>
          <w:lang w:val="ru-RU"/>
        </w:rPr>
      </w:pPr>
      <w:r w:rsidRPr="00DF1530">
        <w:rPr>
          <w:lang w:val="ru-RU"/>
        </w:rPr>
        <w:t>Энергоснабжение</w:t>
      </w:r>
    </w:p>
    <w:p w:rsidR="00FB3D1A" w:rsidRPr="00DF1530" w:rsidRDefault="00FB3D1A" w:rsidP="008C7A93">
      <w:pPr>
        <w:pStyle w:val="FigureNote"/>
        <w:keepNext/>
        <w:keepLines/>
        <w:rPr>
          <w:lang w:val="ru-RU"/>
        </w:rPr>
      </w:pPr>
      <w:r w:rsidRPr="00DF1530">
        <w:rPr>
          <w:lang w:val="ru-RU"/>
        </w:rPr>
        <w:t>Транспорт</w:t>
      </w:r>
    </w:p>
    <w:p w:rsidR="00FB3D1A" w:rsidRPr="00DF1530" w:rsidRDefault="00FB3D1A" w:rsidP="008C7A93">
      <w:pPr>
        <w:pStyle w:val="FigureNote"/>
        <w:keepNext/>
        <w:keepLines/>
        <w:rPr>
          <w:lang w:val="ru-RU"/>
        </w:rPr>
      </w:pPr>
      <w:r w:rsidRPr="00DF1530">
        <w:rPr>
          <w:lang w:val="ru-RU"/>
        </w:rPr>
        <w:t>Ставки налогообложения</w:t>
      </w:r>
    </w:p>
    <w:p w:rsidR="00FB3D1A" w:rsidRPr="00DF1530" w:rsidRDefault="00816F72" w:rsidP="008C7A93">
      <w:pPr>
        <w:pStyle w:val="FigureNote"/>
        <w:keepNext/>
        <w:keepLines/>
        <w:rPr>
          <w:lang w:val="ru-RU"/>
        </w:rPr>
      </w:pPr>
      <w:r w:rsidRPr="00DF1530">
        <w:rPr>
          <w:lang w:val="ru-RU"/>
        </w:rPr>
        <w:t>Система</w:t>
      </w:r>
      <w:r w:rsidR="00FB3D1A" w:rsidRPr="00DF1530">
        <w:rPr>
          <w:lang w:val="ru-RU"/>
        </w:rPr>
        <w:t xml:space="preserve"> сбора налогов</w:t>
      </w:r>
    </w:p>
    <w:p w:rsidR="00FB3D1A" w:rsidRPr="00DF1530" w:rsidRDefault="00FB3D1A" w:rsidP="008C7A93">
      <w:pPr>
        <w:pStyle w:val="FigureNote"/>
        <w:keepNext/>
        <w:keepLines/>
        <w:rPr>
          <w:lang w:val="ru-RU"/>
        </w:rPr>
      </w:pPr>
      <w:r w:rsidRPr="00DF1530">
        <w:rPr>
          <w:lang w:val="ru-RU"/>
        </w:rPr>
        <w:lastRenderedPageBreak/>
        <w:t xml:space="preserve">Лицензирование и </w:t>
      </w:r>
      <w:r w:rsidR="00816F72" w:rsidRPr="00DF1530">
        <w:rPr>
          <w:lang w:val="ru-RU"/>
        </w:rPr>
        <w:t xml:space="preserve">получение </w:t>
      </w:r>
      <w:r w:rsidRPr="00DF1530">
        <w:rPr>
          <w:lang w:val="ru-RU"/>
        </w:rPr>
        <w:t>разрешительн</w:t>
      </w:r>
      <w:r w:rsidR="00816F72" w:rsidRPr="00DF1530">
        <w:rPr>
          <w:lang w:val="ru-RU"/>
        </w:rPr>
        <w:t>ой документации</w:t>
      </w:r>
    </w:p>
    <w:p w:rsidR="00FB3D1A" w:rsidRPr="00DF1530" w:rsidRDefault="00FB3D1A" w:rsidP="008C7A93">
      <w:pPr>
        <w:pStyle w:val="FigureNote"/>
        <w:keepNext/>
        <w:keepLines/>
        <w:rPr>
          <w:lang w:val="ru-RU"/>
        </w:rPr>
      </w:pPr>
      <w:r w:rsidRPr="00DF1530">
        <w:rPr>
          <w:lang w:val="ru-RU"/>
        </w:rPr>
        <w:t>Таможенные и торговые правила</w:t>
      </w:r>
    </w:p>
    <w:p w:rsidR="00FB3D1A" w:rsidRPr="00DF1530" w:rsidRDefault="00FB3D1A" w:rsidP="008C7A93">
      <w:pPr>
        <w:pStyle w:val="FigureNote"/>
        <w:keepNext/>
        <w:keepLines/>
        <w:rPr>
          <w:lang w:val="ru-RU"/>
        </w:rPr>
      </w:pPr>
      <w:r w:rsidRPr="00DF1530">
        <w:rPr>
          <w:lang w:val="ru-RU"/>
        </w:rPr>
        <w:t>Трудовое законодательство</w:t>
      </w:r>
    </w:p>
    <w:p w:rsidR="00FB3D1A" w:rsidRPr="00DF1530" w:rsidRDefault="00FB3D1A" w:rsidP="008C7A93">
      <w:pPr>
        <w:pStyle w:val="FigureNote"/>
        <w:keepNext/>
        <w:keepLines/>
        <w:rPr>
          <w:lang w:val="ru-RU"/>
        </w:rPr>
      </w:pPr>
      <w:r w:rsidRPr="00DF1530">
        <w:rPr>
          <w:lang w:val="ru-RU"/>
        </w:rPr>
        <w:t>Коррупция</w:t>
      </w:r>
    </w:p>
    <w:p w:rsidR="00FB3D1A" w:rsidRPr="00DF1530" w:rsidRDefault="00FB3D1A" w:rsidP="008C7A93">
      <w:pPr>
        <w:pStyle w:val="FigureNote"/>
        <w:keepNext/>
        <w:keepLines/>
        <w:rPr>
          <w:lang w:val="ru-RU"/>
        </w:rPr>
      </w:pPr>
      <w:r w:rsidRPr="00DF1530">
        <w:rPr>
          <w:lang w:val="ru-RU"/>
        </w:rPr>
        <w:t>Судебная система</w:t>
      </w:r>
    </w:p>
    <w:p w:rsidR="00FB3D1A" w:rsidRPr="00DF1530" w:rsidRDefault="00FB3D1A" w:rsidP="008C7A93">
      <w:pPr>
        <w:pStyle w:val="FigureNote"/>
        <w:keepNext/>
        <w:keepLines/>
        <w:rPr>
          <w:lang w:val="ru-RU"/>
        </w:rPr>
      </w:pPr>
      <w:r w:rsidRPr="00DF1530">
        <w:rPr>
          <w:lang w:val="ru-RU"/>
        </w:rPr>
        <w:t>Преступность, воровство и беспорядки</w:t>
      </w:r>
    </w:p>
    <w:p w:rsidR="00FB3D1A" w:rsidRPr="00DF1530" w:rsidRDefault="00FB3D1A" w:rsidP="008C7A93">
      <w:pPr>
        <w:pStyle w:val="FigureNote"/>
        <w:keepNext/>
        <w:keepLines/>
        <w:rPr>
          <w:lang w:val="ru-RU"/>
        </w:rPr>
      </w:pPr>
      <w:r w:rsidRPr="00DF1530">
        <w:rPr>
          <w:lang w:val="ru-RU"/>
        </w:rPr>
        <w:t>Действия конкурентов в неофициальном секторе</w:t>
      </w:r>
    </w:p>
    <w:p w:rsidR="004750CA" w:rsidRPr="00DF1530" w:rsidRDefault="004750CA" w:rsidP="008C7A93">
      <w:pPr>
        <w:pStyle w:val="FigureNote"/>
        <w:keepNext/>
        <w:keepLines/>
        <w:rPr>
          <w:lang w:val="ru-RU"/>
        </w:rPr>
      </w:pPr>
    </w:p>
    <w:p w:rsidR="00FB3D1A" w:rsidRPr="00DF1530" w:rsidRDefault="00FB3D1A" w:rsidP="008C7A93">
      <w:pPr>
        <w:pStyle w:val="FigureNote"/>
        <w:keepNext/>
        <w:keepLines/>
        <w:rPr>
          <w:b/>
          <w:lang w:val="ru-RU"/>
        </w:rPr>
      </w:pPr>
      <w:r w:rsidRPr="00DF1530">
        <w:rPr>
          <w:b/>
          <w:lang w:val="ru-RU"/>
        </w:rPr>
        <w:t>Количество факторов, по которым отстает регион</w:t>
      </w:r>
    </w:p>
    <w:p w:rsidR="004750CA" w:rsidRPr="00DF1530" w:rsidRDefault="004750CA" w:rsidP="008C7A93">
      <w:pPr>
        <w:pStyle w:val="FigureNote"/>
        <w:keepNext/>
        <w:keepLines/>
        <w:rPr>
          <w:lang w:val="ru-RU"/>
        </w:rPr>
      </w:pPr>
    </w:p>
    <w:p w:rsidR="008C7A93" w:rsidRPr="00DF1530" w:rsidRDefault="00DD2995" w:rsidP="008C7A93">
      <w:pPr>
        <w:pStyle w:val="FigureNote"/>
        <w:keepNext/>
        <w:keepLines/>
        <w:rPr>
          <w:lang w:val="ru-RU"/>
        </w:rPr>
      </w:pPr>
      <w:r w:rsidRPr="00DF1530">
        <w:rPr>
          <w:i/>
          <w:lang w:val="ru-RU"/>
        </w:rPr>
        <w:t>Примечание:</w:t>
      </w:r>
      <w:r w:rsidR="008C7A93" w:rsidRPr="00DF1530">
        <w:rPr>
          <w:lang w:val="ru-RU"/>
        </w:rPr>
        <w:t xml:space="preserve"> </w:t>
      </w:r>
      <w:r w:rsidR="004750CA" w:rsidRPr="00DF1530">
        <w:rPr>
          <w:lang w:val="ru-RU"/>
        </w:rPr>
        <w:t>Регионы</w:t>
      </w:r>
      <w:r w:rsidR="008C7A93" w:rsidRPr="00DF1530">
        <w:rPr>
          <w:lang w:val="ru-RU"/>
        </w:rPr>
        <w:t xml:space="preserve"> </w:t>
      </w:r>
      <w:r w:rsidR="00427589" w:rsidRPr="00DF1530">
        <w:rPr>
          <w:lang w:val="ru-RU"/>
        </w:rPr>
        <w:t xml:space="preserve">считаются отстающими, если </w:t>
      </w:r>
      <w:r w:rsidR="00CB734F" w:rsidRPr="00DF1530">
        <w:rPr>
          <w:lang w:val="ru-RU"/>
        </w:rPr>
        <w:t>процент</w:t>
      </w:r>
      <w:r w:rsidR="008C7A93" w:rsidRPr="00DF1530">
        <w:rPr>
          <w:lang w:val="ru-RU"/>
        </w:rPr>
        <w:t xml:space="preserve"> </w:t>
      </w:r>
      <w:r w:rsidR="00427589" w:rsidRPr="00DF1530">
        <w:rPr>
          <w:lang w:val="ru-RU"/>
        </w:rPr>
        <w:t xml:space="preserve">предприятий, назвавших конкретное системное условие важной проблемой, более чем на </w:t>
      </w:r>
      <w:r w:rsidR="008C7A93" w:rsidRPr="00DF1530">
        <w:rPr>
          <w:lang w:val="ru-RU"/>
        </w:rPr>
        <w:t xml:space="preserve">25% </w:t>
      </w:r>
      <w:r w:rsidR="00427589" w:rsidRPr="00DF1530">
        <w:rPr>
          <w:lang w:val="ru-RU"/>
        </w:rPr>
        <w:t>превышает среднее по стране</w:t>
      </w:r>
      <w:r w:rsidR="008C7A93" w:rsidRPr="00DF1530">
        <w:rPr>
          <w:lang w:val="ru-RU"/>
        </w:rPr>
        <w:t xml:space="preserve">. </w:t>
      </w:r>
    </w:p>
    <w:p w:rsidR="008C7A93" w:rsidRPr="00DF1530" w:rsidRDefault="00592D7B" w:rsidP="008C7A93">
      <w:pPr>
        <w:pStyle w:val="SourceDescription"/>
        <w:rPr>
          <w:lang w:val="ru-RU"/>
        </w:rPr>
      </w:pPr>
      <w:r w:rsidRPr="00DF1530">
        <w:rPr>
          <w:lang w:val="ru-RU"/>
        </w:rPr>
        <w:t>Источник информации</w:t>
      </w:r>
      <w:r w:rsidR="008C7A93" w:rsidRPr="00DF1530">
        <w:rPr>
          <w:lang w:val="ru-RU"/>
        </w:rPr>
        <w:t xml:space="preserve">: </w:t>
      </w:r>
      <w:r w:rsidR="00B46A10" w:rsidRPr="00DF1530">
        <w:rPr>
          <w:lang w:val="ru-RU"/>
        </w:rPr>
        <w:t>Рассчитано на основе данных исследований Всемирного банка по предприятиям</w:t>
      </w:r>
      <w:r w:rsidR="008C7A93" w:rsidRPr="00DF1530">
        <w:rPr>
          <w:lang w:val="ru-RU"/>
        </w:rPr>
        <w:t xml:space="preserve">, </w:t>
      </w:r>
      <w:r w:rsidR="00B46A10" w:rsidRPr="00DF1530">
        <w:rPr>
          <w:lang w:val="ru-RU"/>
        </w:rPr>
        <w:t xml:space="preserve">Россия </w:t>
      </w:r>
      <w:r w:rsidR="008C7A93" w:rsidRPr="00DF1530">
        <w:rPr>
          <w:lang w:val="ru-RU"/>
        </w:rPr>
        <w:t>2012 http://www.enterprisesurveys.org/data/exploreeconomies/2012/russia</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96</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B46A10" w:rsidRPr="00DF1530">
        <w:rPr>
          <w:lang w:val="ru-RU"/>
        </w:rPr>
        <w:t xml:space="preserve">На </w:t>
      </w:r>
      <w:r w:rsidR="00592D7B" w:rsidRPr="00DF1530">
        <w:rPr>
          <w:lang w:val="ru-RU"/>
        </w:rPr>
        <w:t>Рисунк</w:t>
      </w:r>
      <w:r w:rsidR="00B46A10" w:rsidRPr="00DF1530">
        <w:rPr>
          <w:lang w:val="ru-RU"/>
        </w:rPr>
        <w:t>е</w:t>
      </w:r>
      <w:r w:rsidR="008C7A93" w:rsidRPr="00DF1530">
        <w:rPr>
          <w:lang w:val="ru-RU"/>
        </w:rPr>
        <w:t xml:space="preserve"> 1.16 </w:t>
      </w:r>
      <w:r w:rsidR="006F77C3" w:rsidRPr="00DF1530">
        <w:rPr>
          <w:lang w:val="ru-RU"/>
        </w:rPr>
        <w:t>п</w:t>
      </w:r>
      <w:r w:rsidR="00B46A10" w:rsidRPr="00DF1530">
        <w:rPr>
          <w:lang w:val="ru-RU"/>
        </w:rPr>
        <w:t>оказано</w:t>
      </w:r>
      <w:r w:rsidR="008C7A93" w:rsidRPr="00DF1530">
        <w:rPr>
          <w:lang w:val="ru-RU"/>
        </w:rPr>
        <w:t xml:space="preserve"> </w:t>
      </w:r>
      <w:r w:rsidR="00B46A10" w:rsidRPr="00DF1530">
        <w:rPr>
          <w:lang w:val="ru-RU"/>
        </w:rPr>
        <w:t xml:space="preserve">по </w:t>
      </w:r>
      <w:r w:rsidR="008C7A93" w:rsidRPr="00DF1530">
        <w:rPr>
          <w:lang w:val="ru-RU"/>
        </w:rPr>
        <w:t xml:space="preserve">37 </w:t>
      </w:r>
      <w:r w:rsidR="00B46A10" w:rsidRPr="00DF1530">
        <w:rPr>
          <w:lang w:val="ru-RU"/>
        </w:rPr>
        <w:t xml:space="preserve">из </w:t>
      </w:r>
      <w:r w:rsidR="008C7A93" w:rsidRPr="00DF1530">
        <w:rPr>
          <w:lang w:val="ru-RU"/>
        </w:rPr>
        <w:t xml:space="preserve">83 </w:t>
      </w:r>
      <w:r w:rsidR="004750CA" w:rsidRPr="00DF1530">
        <w:rPr>
          <w:lang w:val="ru-RU"/>
        </w:rPr>
        <w:t>регион</w:t>
      </w:r>
      <w:r w:rsidR="00B46A10" w:rsidRPr="00DF1530">
        <w:rPr>
          <w:lang w:val="ru-RU"/>
        </w:rPr>
        <w:t xml:space="preserve">ов количество категорий </w:t>
      </w:r>
      <w:r w:rsidR="008F2340" w:rsidRPr="00DF1530">
        <w:rPr>
          <w:lang w:val="ru-RU"/>
        </w:rPr>
        <w:t>системны</w:t>
      </w:r>
      <w:r w:rsidR="00B46A10" w:rsidRPr="00DF1530">
        <w:rPr>
          <w:lang w:val="ru-RU"/>
        </w:rPr>
        <w:t>х</w:t>
      </w:r>
      <w:r w:rsidR="008F2340" w:rsidRPr="00DF1530">
        <w:rPr>
          <w:lang w:val="ru-RU"/>
        </w:rPr>
        <w:t xml:space="preserve"> услови</w:t>
      </w:r>
      <w:r w:rsidR="00B46A10" w:rsidRPr="00DF1530">
        <w:rPr>
          <w:lang w:val="ru-RU"/>
        </w:rPr>
        <w:t>й,</w:t>
      </w:r>
      <w:r w:rsidR="008C7A93" w:rsidRPr="00DF1530">
        <w:rPr>
          <w:lang w:val="ru-RU"/>
        </w:rPr>
        <w:t xml:space="preserve"> </w:t>
      </w:r>
      <w:r w:rsidR="003E35C9" w:rsidRPr="00DF1530">
        <w:rPr>
          <w:lang w:val="ru-RU"/>
        </w:rPr>
        <w:t xml:space="preserve">по которым </w:t>
      </w:r>
      <w:r w:rsidR="00CB734F" w:rsidRPr="00DF1530">
        <w:rPr>
          <w:lang w:val="ru-RU"/>
        </w:rPr>
        <w:t>процент</w:t>
      </w:r>
      <w:r w:rsidR="008C7A93" w:rsidRPr="00DF1530">
        <w:rPr>
          <w:lang w:val="ru-RU"/>
        </w:rPr>
        <w:t xml:space="preserve"> </w:t>
      </w:r>
      <w:r w:rsidR="003E35C9" w:rsidRPr="00DF1530">
        <w:rPr>
          <w:lang w:val="ru-RU"/>
        </w:rPr>
        <w:t xml:space="preserve">опрошенных </w:t>
      </w:r>
      <w:r w:rsidR="00834072" w:rsidRPr="00DF1530">
        <w:rPr>
          <w:lang w:val="ru-RU"/>
        </w:rPr>
        <w:t>предприяти</w:t>
      </w:r>
      <w:r w:rsidR="003E35C9" w:rsidRPr="00DF1530">
        <w:rPr>
          <w:lang w:val="ru-RU"/>
        </w:rPr>
        <w:t>й</w:t>
      </w:r>
      <w:r w:rsidR="008C7A93" w:rsidRPr="00DF1530">
        <w:rPr>
          <w:lang w:val="ru-RU"/>
        </w:rPr>
        <w:t xml:space="preserve"> </w:t>
      </w:r>
      <w:r w:rsidR="003E35C9" w:rsidRPr="00DF1530">
        <w:rPr>
          <w:lang w:val="ru-RU"/>
        </w:rPr>
        <w:t xml:space="preserve">как минимум на </w:t>
      </w:r>
      <w:r w:rsidR="008C7A93" w:rsidRPr="00DF1530">
        <w:rPr>
          <w:lang w:val="ru-RU"/>
        </w:rPr>
        <w:t xml:space="preserve">25% </w:t>
      </w:r>
      <w:r w:rsidR="003E35C9" w:rsidRPr="00DF1530">
        <w:rPr>
          <w:lang w:val="ru-RU"/>
        </w:rPr>
        <w:t xml:space="preserve">превышал среднее по </w:t>
      </w:r>
      <w:r w:rsidR="004F360C" w:rsidRPr="00DF1530">
        <w:rPr>
          <w:lang w:val="ru-RU"/>
        </w:rPr>
        <w:t>Российск</w:t>
      </w:r>
      <w:r w:rsidR="003E35C9" w:rsidRPr="00DF1530">
        <w:rPr>
          <w:lang w:val="ru-RU"/>
        </w:rPr>
        <w:t>ой</w:t>
      </w:r>
      <w:r w:rsidR="005E53F2" w:rsidRPr="00DF1530">
        <w:rPr>
          <w:lang w:val="ru-RU"/>
        </w:rPr>
        <w:t xml:space="preserve"> Федераци</w:t>
      </w:r>
      <w:r w:rsidR="003E35C9" w:rsidRPr="00DF1530">
        <w:rPr>
          <w:lang w:val="ru-RU"/>
        </w:rPr>
        <w:t>и,</w:t>
      </w:r>
      <w:r w:rsidR="008C7A93" w:rsidRPr="00DF1530">
        <w:rPr>
          <w:lang w:val="ru-RU"/>
        </w:rPr>
        <w:t xml:space="preserve"> </w:t>
      </w:r>
      <w:r w:rsidR="001A23D0" w:rsidRPr="00DF1530">
        <w:rPr>
          <w:lang w:val="ru-RU"/>
        </w:rPr>
        <w:t>вместе с</w:t>
      </w:r>
      <w:r w:rsidR="008C7A93" w:rsidRPr="00DF1530">
        <w:rPr>
          <w:lang w:val="ru-RU"/>
        </w:rPr>
        <w:t xml:space="preserve"> </w:t>
      </w:r>
      <w:r w:rsidR="003E35C9" w:rsidRPr="00DF1530">
        <w:rPr>
          <w:lang w:val="ru-RU"/>
        </w:rPr>
        <w:t xml:space="preserve">теми типами </w:t>
      </w:r>
      <w:r w:rsidR="008F2340" w:rsidRPr="00DF1530">
        <w:rPr>
          <w:lang w:val="ru-RU"/>
        </w:rPr>
        <w:t>системны</w:t>
      </w:r>
      <w:r w:rsidR="003E35C9" w:rsidRPr="00DF1530">
        <w:rPr>
          <w:lang w:val="ru-RU"/>
        </w:rPr>
        <w:t>х</w:t>
      </w:r>
      <w:r w:rsidR="008F2340" w:rsidRPr="00DF1530">
        <w:rPr>
          <w:lang w:val="ru-RU"/>
        </w:rPr>
        <w:t xml:space="preserve"> услови</w:t>
      </w:r>
      <w:r w:rsidR="003E35C9" w:rsidRPr="00DF1530">
        <w:rPr>
          <w:lang w:val="ru-RU"/>
        </w:rPr>
        <w:t>й,</w:t>
      </w:r>
      <w:r w:rsidR="008C7A93" w:rsidRPr="00DF1530">
        <w:rPr>
          <w:lang w:val="ru-RU"/>
        </w:rPr>
        <w:t xml:space="preserve"> </w:t>
      </w:r>
      <w:r w:rsidR="003E35C9" w:rsidRPr="00DF1530">
        <w:rPr>
          <w:lang w:val="ru-RU"/>
        </w:rPr>
        <w:t xml:space="preserve">которые </w:t>
      </w:r>
      <w:r w:rsidR="00E57DD8" w:rsidRPr="00DF1530">
        <w:rPr>
          <w:lang w:val="ru-RU"/>
        </w:rPr>
        <w:t xml:space="preserve">представляют </w:t>
      </w:r>
      <w:r w:rsidR="003E35C9" w:rsidRPr="00DF1530">
        <w:rPr>
          <w:lang w:val="ru-RU"/>
        </w:rPr>
        <w:t>особые проблемы в каждом регионе</w:t>
      </w:r>
      <w:r w:rsidR="008C7A93" w:rsidRPr="00DF1530">
        <w:rPr>
          <w:lang w:val="ru-RU"/>
        </w:rPr>
        <w:t xml:space="preserve">. </w:t>
      </w:r>
      <w:r w:rsidR="00A01CA8" w:rsidRPr="00DF1530">
        <w:rPr>
          <w:lang w:val="ru-RU"/>
        </w:rPr>
        <w:t>Р</w:t>
      </w:r>
      <w:r w:rsidR="004750CA" w:rsidRPr="00DF1530">
        <w:rPr>
          <w:lang w:val="ru-RU"/>
        </w:rPr>
        <w:t>егионы</w:t>
      </w:r>
      <w:r w:rsidR="00A01CA8" w:rsidRPr="00DF1530">
        <w:rPr>
          <w:lang w:val="ru-RU"/>
        </w:rPr>
        <w:t>,</w:t>
      </w:r>
      <w:r w:rsidR="008C7A93" w:rsidRPr="00DF1530">
        <w:rPr>
          <w:lang w:val="ru-RU"/>
        </w:rPr>
        <w:t xml:space="preserve"> </w:t>
      </w:r>
      <w:r w:rsidR="00A01CA8" w:rsidRPr="00DF1530">
        <w:rPr>
          <w:lang w:val="ru-RU"/>
        </w:rPr>
        <w:t xml:space="preserve">отстающие от остальной части страны по большинству условий осуществления предпринимательской деятельности </w:t>
      </w:r>
      <w:r w:rsidR="00BD465D" w:rsidRPr="00DF1530">
        <w:rPr>
          <w:lang w:val="ru-RU"/>
        </w:rPr>
        <w:t xml:space="preserve">– </w:t>
      </w:r>
      <w:r w:rsidR="00A01CA8" w:rsidRPr="00DF1530">
        <w:rPr>
          <w:lang w:val="ru-RU"/>
        </w:rPr>
        <w:t>Ростов</w:t>
      </w:r>
      <w:r w:rsidR="008C7A93" w:rsidRPr="00DF1530">
        <w:rPr>
          <w:lang w:val="ru-RU"/>
        </w:rPr>
        <w:t xml:space="preserve">, </w:t>
      </w:r>
      <w:r w:rsidR="00A01CA8" w:rsidRPr="00DF1530">
        <w:rPr>
          <w:lang w:val="ru-RU"/>
        </w:rPr>
        <w:t>Самара</w:t>
      </w:r>
      <w:r w:rsidR="008C7A93" w:rsidRPr="00DF1530">
        <w:rPr>
          <w:lang w:val="ru-RU"/>
        </w:rPr>
        <w:t xml:space="preserve">, </w:t>
      </w:r>
      <w:r w:rsidR="00A01CA8" w:rsidRPr="00DF1530">
        <w:rPr>
          <w:lang w:val="ru-RU"/>
        </w:rPr>
        <w:t>Ленинград</w:t>
      </w:r>
      <w:r w:rsidR="008C7A93" w:rsidRPr="00DF1530">
        <w:rPr>
          <w:lang w:val="ru-RU"/>
        </w:rPr>
        <w:t xml:space="preserve">, </w:t>
      </w:r>
      <w:r w:rsidR="00A01CA8" w:rsidRPr="00DF1530">
        <w:rPr>
          <w:lang w:val="ru-RU"/>
        </w:rPr>
        <w:t>Челябинск</w:t>
      </w:r>
      <w:r w:rsidR="008C7A93" w:rsidRPr="00DF1530">
        <w:rPr>
          <w:lang w:val="ru-RU"/>
        </w:rPr>
        <w:t xml:space="preserve">, </w:t>
      </w:r>
      <w:r w:rsidR="00A01CA8" w:rsidRPr="00DF1530">
        <w:rPr>
          <w:lang w:val="ru-RU"/>
        </w:rPr>
        <w:t>Липецк</w:t>
      </w:r>
      <w:r w:rsidR="008C7A93" w:rsidRPr="00DF1530">
        <w:rPr>
          <w:lang w:val="ru-RU"/>
        </w:rPr>
        <w:t xml:space="preserve"> </w:t>
      </w:r>
      <w:r w:rsidR="00A01CA8" w:rsidRPr="00DF1530">
        <w:rPr>
          <w:lang w:val="ru-RU"/>
        </w:rPr>
        <w:t>и Тверь</w:t>
      </w:r>
      <w:r w:rsidR="008C7A93" w:rsidRPr="00DF1530">
        <w:rPr>
          <w:lang w:val="ru-RU"/>
        </w:rPr>
        <w:t xml:space="preserve">, </w:t>
      </w:r>
      <w:r w:rsidR="00A01CA8" w:rsidRPr="00DF1530">
        <w:rPr>
          <w:lang w:val="ru-RU"/>
        </w:rPr>
        <w:t>но характер конкретной проблемной области, по которой отстают регионы, зависит от региона</w:t>
      </w:r>
      <w:r w:rsidR="008C7A93" w:rsidRPr="00DF1530">
        <w:rPr>
          <w:lang w:val="ru-RU"/>
        </w:rPr>
        <w:t xml:space="preserve">. </w:t>
      </w:r>
      <w:r w:rsidR="00A01CA8" w:rsidRPr="00DF1530">
        <w:rPr>
          <w:lang w:val="ru-RU"/>
        </w:rPr>
        <w:t xml:space="preserve">Это подчеркивает важность проведения </w:t>
      </w:r>
      <w:r w:rsidR="000855A8" w:rsidRPr="00DF1530">
        <w:rPr>
          <w:lang w:val="ru-RU"/>
        </w:rPr>
        <w:t>региональн</w:t>
      </w:r>
      <w:r w:rsidR="00A01CA8" w:rsidRPr="00DF1530">
        <w:rPr>
          <w:lang w:val="ru-RU"/>
        </w:rPr>
        <w:t xml:space="preserve">ого исследования по всей </w:t>
      </w:r>
      <w:r w:rsidR="004F360C" w:rsidRPr="00DF1530">
        <w:rPr>
          <w:lang w:val="ru-RU"/>
        </w:rPr>
        <w:t>Российск</w:t>
      </w:r>
      <w:r w:rsidR="00A01CA8" w:rsidRPr="00DF1530">
        <w:rPr>
          <w:lang w:val="ru-RU"/>
        </w:rPr>
        <w:t>ой</w:t>
      </w:r>
      <w:r w:rsidR="005E53F2" w:rsidRPr="00DF1530">
        <w:rPr>
          <w:lang w:val="ru-RU"/>
        </w:rPr>
        <w:t xml:space="preserve"> Федераци</w:t>
      </w:r>
      <w:r w:rsidR="00A01CA8" w:rsidRPr="00DF1530">
        <w:rPr>
          <w:lang w:val="ru-RU"/>
        </w:rPr>
        <w:t>и</w:t>
      </w:r>
      <w:r w:rsidR="008C7A93" w:rsidRPr="00DF1530">
        <w:rPr>
          <w:lang w:val="ru-RU"/>
        </w:rPr>
        <w:t xml:space="preserve"> </w:t>
      </w:r>
      <w:r w:rsidR="00A01CA8" w:rsidRPr="00DF1530">
        <w:rPr>
          <w:lang w:val="ru-RU"/>
        </w:rPr>
        <w:t xml:space="preserve">конкретных препятствий для </w:t>
      </w:r>
      <w:r w:rsidR="003F5CB4" w:rsidRPr="00DF1530">
        <w:rPr>
          <w:lang w:val="ru-RU"/>
        </w:rPr>
        <w:t>МСП и предпринимательск</w:t>
      </w:r>
      <w:r w:rsidR="00A01CA8" w:rsidRPr="00DF1530">
        <w:rPr>
          <w:lang w:val="ru-RU"/>
        </w:rPr>
        <w:t>ой</w:t>
      </w:r>
      <w:r w:rsidR="003F5CB4" w:rsidRPr="00DF1530">
        <w:rPr>
          <w:lang w:val="ru-RU"/>
        </w:rPr>
        <w:t xml:space="preserve"> деятельност</w:t>
      </w:r>
      <w:r w:rsidR="00A01CA8" w:rsidRPr="00DF1530">
        <w:rPr>
          <w:lang w:val="ru-RU"/>
        </w:rPr>
        <w:t>и</w:t>
      </w:r>
      <w:r w:rsidR="008C7A93" w:rsidRPr="00DF1530">
        <w:rPr>
          <w:lang w:val="ru-RU"/>
        </w:rPr>
        <w:t xml:space="preserve"> </w:t>
      </w:r>
      <w:r w:rsidR="00A01CA8" w:rsidRPr="00DF1530">
        <w:rPr>
          <w:lang w:val="ru-RU"/>
        </w:rPr>
        <w:t>и разработки адаптированных стратегий для устранения выявленных препятствий</w:t>
      </w:r>
      <w:r w:rsidR="008C7A93" w:rsidRPr="00DF1530">
        <w:rPr>
          <w:lang w:val="ru-RU"/>
        </w:rPr>
        <w:t xml:space="preserve">. </w:t>
      </w:r>
      <w:r w:rsidR="00A01CA8" w:rsidRPr="00DF1530">
        <w:rPr>
          <w:lang w:val="ru-RU"/>
        </w:rPr>
        <w:t>Необходимость</w:t>
      </w:r>
      <w:r w:rsidR="008C7A93" w:rsidRPr="00DF1530">
        <w:rPr>
          <w:lang w:val="ru-RU"/>
        </w:rPr>
        <w:t xml:space="preserve"> </w:t>
      </w:r>
      <w:r w:rsidR="00A01CA8" w:rsidRPr="00DF1530">
        <w:rPr>
          <w:lang w:val="ru-RU"/>
        </w:rPr>
        <w:t>территориально</w:t>
      </w:r>
      <w:r w:rsidR="008A74CF" w:rsidRPr="00DF1530">
        <w:rPr>
          <w:lang w:val="ru-RU"/>
        </w:rPr>
        <w:t xml:space="preserve"> </w:t>
      </w:r>
      <w:r w:rsidR="00A01CA8" w:rsidRPr="00DF1530">
        <w:rPr>
          <w:lang w:val="ru-RU"/>
        </w:rPr>
        <w:t xml:space="preserve">дифференцированной </w:t>
      </w:r>
      <w:r w:rsidR="00EB1372" w:rsidRPr="00DF1530">
        <w:rPr>
          <w:lang w:val="ru-RU"/>
        </w:rPr>
        <w:t>политик</w:t>
      </w:r>
      <w:r w:rsidR="00A01CA8"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r w:rsidR="00592D7B" w:rsidRPr="00DF1530">
        <w:rPr>
          <w:lang w:val="ru-RU"/>
        </w:rPr>
        <w:t>также</w:t>
      </w:r>
      <w:r w:rsidR="008C7A93" w:rsidRPr="00DF1530">
        <w:rPr>
          <w:lang w:val="ru-RU"/>
        </w:rPr>
        <w:t xml:space="preserve"> </w:t>
      </w:r>
      <w:r w:rsidR="00A01CA8" w:rsidRPr="00DF1530">
        <w:rPr>
          <w:lang w:val="ru-RU"/>
        </w:rPr>
        <w:t xml:space="preserve">связана с существованием значительных </w:t>
      </w:r>
      <w:r w:rsidR="000855A8" w:rsidRPr="00DF1530">
        <w:rPr>
          <w:lang w:val="ru-RU"/>
        </w:rPr>
        <w:t>региональны</w:t>
      </w:r>
      <w:r w:rsidR="00A01CA8" w:rsidRPr="00DF1530">
        <w:rPr>
          <w:lang w:val="ru-RU"/>
        </w:rPr>
        <w:t>х</w:t>
      </w:r>
      <w:r w:rsidR="008C7A93" w:rsidRPr="00DF1530">
        <w:rPr>
          <w:lang w:val="ru-RU"/>
        </w:rPr>
        <w:t xml:space="preserve"> </w:t>
      </w:r>
      <w:r w:rsidR="00A01CA8" w:rsidRPr="00DF1530">
        <w:rPr>
          <w:lang w:val="ru-RU"/>
        </w:rPr>
        <w:t xml:space="preserve">отличий в отраслевой специализации сектора </w:t>
      </w:r>
      <w:r w:rsidR="00834072" w:rsidRPr="00DF1530">
        <w:rPr>
          <w:lang w:val="ru-RU"/>
        </w:rPr>
        <w:t>МСП</w:t>
      </w:r>
      <w:r w:rsidR="008C7A93" w:rsidRPr="00DF1530">
        <w:rPr>
          <w:lang w:val="ru-RU"/>
        </w:rPr>
        <w:t xml:space="preserve"> </w:t>
      </w:r>
      <w:r w:rsidR="00A01CA8" w:rsidRPr="00DF1530">
        <w:rPr>
          <w:lang w:val="ru-RU"/>
        </w:rPr>
        <w:t xml:space="preserve">в </w:t>
      </w:r>
      <w:r w:rsidR="004F360C" w:rsidRPr="00DF1530">
        <w:rPr>
          <w:lang w:val="ru-RU"/>
        </w:rPr>
        <w:t>Российск</w:t>
      </w:r>
      <w:r w:rsidR="00A01CA8" w:rsidRPr="00DF1530">
        <w:rPr>
          <w:lang w:val="ru-RU"/>
        </w:rPr>
        <w:t>ой</w:t>
      </w:r>
      <w:r w:rsidR="005E53F2" w:rsidRPr="00DF1530">
        <w:rPr>
          <w:lang w:val="ru-RU"/>
        </w:rPr>
        <w:t xml:space="preserve"> Федераци</w:t>
      </w:r>
      <w:r w:rsidR="00A01CA8" w:rsidRPr="00DF1530">
        <w:rPr>
          <w:lang w:val="ru-RU"/>
        </w:rPr>
        <w:t>и</w:t>
      </w:r>
      <w:r w:rsidR="008C7A93" w:rsidRPr="00DF1530">
        <w:rPr>
          <w:lang w:val="ru-RU"/>
        </w:rPr>
        <w:t xml:space="preserve">, </w:t>
      </w:r>
      <w:r w:rsidR="00A01CA8" w:rsidRPr="00DF1530">
        <w:rPr>
          <w:lang w:val="ru-RU"/>
        </w:rPr>
        <w:t xml:space="preserve">учитывая, что разным секторам требуются различные виды конкретной </w:t>
      </w:r>
      <w:r w:rsidR="00E57A1C" w:rsidRPr="00DF1530">
        <w:rPr>
          <w:lang w:val="ru-RU"/>
        </w:rPr>
        <w:t>поддержк</w:t>
      </w:r>
      <w:r w:rsidR="00A01CA8" w:rsidRPr="00DF1530">
        <w:rPr>
          <w:lang w:val="ru-RU"/>
        </w:rPr>
        <w:t>и</w:t>
      </w:r>
      <w:r w:rsidR="008C7A93" w:rsidRPr="00DF1530">
        <w:rPr>
          <w:lang w:val="ru-RU"/>
        </w:rPr>
        <w:t xml:space="preserve">.  </w:t>
      </w:r>
    </w:p>
    <w:p w:rsidR="008C7A93" w:rsidRPr="00DF1530" w:rsidRDefault="0032725E" w:rsidP="008C7A93">
      <w:pPr>
        <w:pStyle w:val="31"/>
        <w:rPr>
          <w:lang w:val="ru-RU"/>
        </w:rPr>
      </w:pPr>
      <w:r w:rsidRPr="00DF1530">
        <w:rPr>
          <w:lang w:val="ru-RU"/>
        </w:rPr>
        <w:t xml:space="preserve">Предстоит еще большая работа по </w:t>
      </w:r>
      <w:r w:rsidR="00E45408" w:rsidRPr="00DF1530">
        <w:rPr>
          <w:lang w:val="ru-RU"/>
        </w:rPr>
        <w:t xml:space="preserve">территориальному </w:t>
      </w:r>
      <w:r w:rsidRPr="00DF1530">
        <w:rPr>
          <w:lang w:val="ru-RU"/>
        </w:rPr>
        <w:t>рас</w:t>
      </w:r>
      <w:r w:rsidR="006F60E9" w:rsidRPr="00DF1530">
        <w:rPr>
          <w:lang w:val="ru-RU"/>
        </w:rPr>
        <w:t xml:space="preserve">ширению </w:t>
      </w:r>
      <w:r w:rsidRPr="00DF1530">
        <w:rPr>
          <w:lang w:val="ru-RU"/>
        </w:rPr>
        <w:t xml:space="preserve">действия программы по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98</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A9695A" w:rsidRPr="00DF1530">
        <w:rPr>
          <w:lang w:val="ru-RU"/>
        </w:rPr>
        <w:t xml:space="preserve">Управление </w:t>
      </w:r>
      <w:r w:rsidR="00834072" w:rsidRPr="00DF1530">
        <w:rPr>
          <w:lang w:val="ru-RU"/>
        </w:rPr>
        <w:t>в Российской Федерации</w:t>
      </w:r>
      <w:r w:rsidR="00A9695A" w:rsidRPr="00DF1530">
        <w:rPr>
          <w:lang w:val="ru-RU"/>
        </w:rPr>
        <w:t xml:space="preserve"> относительно децентрализовано</w:t>
      </w:r>
      <w:r w:rsidR="008C7A93" w:rsidRPr="00DF1530">
        <w:rPr>
          <w:lang w:val="ru-RU"/>
        </w:rPr>
        <w:t xml:space="preserve">, </w:t>
      </w:r>
      <w:r w:rsidR="00A9695A" w:rsidRPr="00DF1530">
        <w:rPr>
          <w:lang w:val="ru-RU"/>
        </w:rPr>
        <w:t xml:space="preserve">и </w:t>
      </w:r>
      <w:r w:rsidR="000855A8" w:rsidRPr="00DF1530">
        <w:rPr>
          <w:lang w:val="ru-RU"/>
        </w:rPr>
        <w:t>региональные</w:t>
      </w:r>
      <w:r w:rsidR="008C7A93" w:rsidRPr="00DF1530">
        <w:rPr>
          <w:lang w:val="ru-RU"/>
        </w:rPr>
        <w:t xml:space="preserve"> </w:t>
      </w:r>
      <w:r w:rsidR="00A9695A" w:rsidRPr="00DF1530">
        <w:rPr>
          <w:lang w:val="ru-RU"/>
        </w:rPr>
        <w:t xml:space="preserve">и муниципальные правительства обладают </w:t>
      </w:r>
      <w:r w:rsidR="00F57F57" w:rsidRPr="00DF1530">
        <w:rPr>
          <w:lang w:val="ru-RU"/>
        </w:rPr>
        <w:t>соответствующи</w:t>
      </w:r>
      <w:r w:rsidR="00A9695A" w:rsidRPr="00DF1530">
        <w:rPr>
          <w:lang w:val="ru-RU"/>
        </w:rPr>
        <w:t>ми</w:t>
      </w:r>
      <w:r w:rsidR="008C7A93" w:rsidRPr="00DF1530">
        <w:rPr>
          <w:lang w:val="ru-RU"/>
        </w:rPr>
        <w:t xml:space="preserve"> </w:t>
      </w:r>
      <w:r w:rsidR="00A9695A" w:rsidRPr="00DF1530">
        <w:rPr>
          <w:lang w:val="ru-RU"/>
        </w:rPr>
        <w:t xml:space="preserve">полномочиями и ресурсами для развития инфраструктуры и услуг для поддержки </w:t>
      </w:r>
      <w:r w:rsidR="003F5CB4" w:rsidRPr="00DF1530">
        <w:rPr>
          <w:lang w:val="ru-RU"/>
        </w:rPr>
        <w:t>МСП и предпринимательск</w:t>
      </w:r>
      <w:r w:rsidR="00A9695A" w:rsidRPr="00DF1530">
        <w:rPr>
          <w:lang w:val="ru-RU"/>
        </w:rPr>
        <w:t>ой</w:t>
      </w:r>
      <w:r w:rsidR="003F5CB4" w:rsidRPr="00DF1530">
        <w:rPr>
          <w:lang w:val="ru-RU"/>
        </w:rPr>
        <w:t xml:space="preserve"> деятельност</w:t>
      </w:r>
      <w:r w:rsidR="00A9695A" w:rsidRPr="00DF1530">
        <w:rPr>
          <w:lang w:val="ru-RU"/>
        </w:rPr>
        <w:t>и</w:t>
      </w:r>
      <w:r w:rsidR="008C7A93" w:rsidRPr="00DF1530">
        <w:rPr>
          <w:lang w:val="ru-RU"/>
        </w:rPr>
        <w:t xml:space="preserve">. </w:t>
      </w:r>
      <w:r w:rsidR="00E04D7F" w:rsidRPr="00DF1530">
        <w:rPr>
          <w:lang w:val="ru-RU"/>
        </w:rPr>
        <w:t xml:space="preserve">Они </w:t>
      </w:r>
      <w:r w:rsidR="00592D7B" w:rsidRPr="00DF1530">
        <w:rPr>
          <w:lang w:val="ru-RU"/>
        </w:rPr>
        <w:t>также</w:t>
      </w:r>
      <w:r w:rsidR="008C7A93" w:rsidRPr="00DF1530">
        <w:rPr>
          <w:lang w:val="ru-RU"/>
        </w:rPr>
        <w:t xml:space="preserve"> </w:t>
      </w:r>
      <w:r w:rsidR="00E04D7F" w:rsidRPr="00DF1530">
        <w:rPr>
          <w:lang w:val="ru-RU"/>
        </w:rPr>
        <w:t>имеют важное преимущество знания местной ситуации и близости</w:t>
      </w:r>
      <w:r w:rsidR="008A74CF" w:rsidRPr="00DF1530">
        <w:rPr>
          <w:lang w:val="ru-RU"/>
        </w:rPr>
        <w:t xml:space="preserve"> к предприятиям</w:t>
      </w:r>
      <w:r w:rsidR="00E04D7F" w:rsidRPr="00DF1530">
        <w:rPr>
          <w:lang w:val="ru-RU"/>
        </w:rPr>
        <w:t xml:space="preserve">, что позволяет разработать и реализовать эффективные меры в области </w:t>
      </w:r>
      <w:r w:rsidR="00EB1372" w:rsidRPr="00DF1530">
        <w:rPr>
          <w:lang w:val="ru-RU"/>
        </w:rPr>
        <w:t>политик</w:t>
      </w:r>
      <w:r w:rsidR="00E04D7F"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r w:rsidR="00AD05F1" w:rsidRPr="00DF1530">
        <w:rPr>
          <w:lang w:val="ru-RU"/>
        </w:rPr>
        <w:t>Ф</w:t>
      </w:r>
      <w:r w:rsidR="00EB1372" w:rsidRPr="00DF1530">
        <w:rPr>
          <w:lang w:val="ru-RU"/>
        </w:rPr>
        <w:t>едеральный</w:t>
      </w:r>
      <w:r w:rsidR="008C7A93" w:rsidRPr="00DF1530">
        <w:rPr>
          <w:lang w:val="ru-RU"/>
        </w:rPr>
        <w:t xml:space="preserve"> </w:t>
      </w:r>
      <w:r w:rsidR="0032434C" w:rsidRPr="00DF1530">
        <w:rPr>
          <w:lang w:val="ru-RU"/>
        </w:rPr>
        <w:t>з</w:t>
      </w:r>
      <w:r w:rsidR="00EB1372" w:rsidRPr="00DF1530">
        <w:rPr>
          <w:lang w:val="ru-RU"/>
        </w:rPr>
        <w:t xml:space="preserve">акон </w:t>
      </w:r>
      <w:r w:rsidR="0032434C" w:rsidRPr="00DF1530">
        <w:rPr>
          <w:lang w:val="ru-RU"/>
        </w:rPr>
        <w:t xml:space="preserve">«О развитии малого и среднего предпринимательства в Российской Федерации» от 2007 года </w:t>
      </w:r>
      <w:r w:rsidR="00AD05F1" w:rsidRPr="00DF1530">
        <w:rPr>
          <w:lang w:val="ru-RU"/>
        </w:rPr>
        <w:t xml:space="preserve">важен в том, что подчеркивает эту местную роль, устанавливая </w:t>
      </w:r>
      <w:r w:rsidR="00EB1372" w:rsidRPr="00DF1530">
        <w:rPr>
          <w:lang w:val="ru-RU"/>
        </w:rPr>
        <w:t>принципы</w:t>
      </w:r>
      <w:r w:rsidR="008C7A93" w:rsidRPr="00DF1530">
        <w:rPr>
          <w:lang w:val="ru-RU"/>
        </w:rPr>
        <w:t xml:space="preserve">, </w:t>
      </w:r>
      <w:r w:rsidR="00EB1372" w:rsidRPr="00DF1530">
        <w:rPr>
          <w:lang w:val="ru-RU"/>
        </w:rPr>
        <w:t>механизмы</w:t>
      </w:r>
      <w:r w:rsidR="008C7A93" w:rsidRPr="00DF1530">
        <w:rPr>
          <w:lang w:val="ru-RU"/>
        </w:rPr>
        <w:t xml:space="preserve">, </w:t>
      </w:r>
      <w:r w:rsidR="00AD05F1" w:rsidRPr="00DF1530">
        <w:rPr>
          <w:lang w:val="ru-RU"/>
        </w:rPr>
        <w:t>целевые группы</w:t>
      </w:r>
      <w:r w:rsidR="008C7A93" w:rsidRPr="00DF1530">
        <w:rPr>
          <w:lang w:val="ru-RU"/>
        </w:rPr>
        <w:t xml:space="preserve"> </w:t>
      </w:r>
      <w:r w:rsidR="00AD05F1" w:rsidRPr="00DF1530">
        <w:rPr>
          <w:lang w:val="ru-RU"/>
        </w:rPr>
        <w:t xml:space="preserve">и формы </w:t>
      </w:r>
      <w:r w:rsidR="00E57A1C" w:rsidRPr="00DF1530">
        <w:rPr>
          <w:lang w:val="ru-RU"/>
        </w:rPr>
        <w:t>поддержк</w:t>
      </w:r>
      <w:r w:rsidR="00AD05F1" w:rsidRPr="00DF1530">
        <w:rPr>
          <w:lang w:val="ru-RU"/>
        </w:rPr>
        <w:t>и</w:t>
      </w:r>
      <w:r w:rsidR="008C7A93" w:rsidRPr="00DF1530">
        <w:rPr>
          <w:lang w:val="ru-RU"/>
        </w:rPr>
        <w:t xml:space="preserve"> </w:t>
      </w:r>
      <w:r w:rsidR="00F736B7" w:rsidRPr="00DF1530">
        <w:rPr>
          <w:lang w:val="ru-RU"/>
        </w:rPr>
        <w:t>МСП</w:t>
      </w:r>
      <w:r w:rsidR="008C7A93" w:rsidRPr="00DF1530">
        <w:rPr>
          <w:lang w:val="ru-RU"/>
        </w:rPr>
        <w:t xml:space="preserve"> </w:t>
      </w:r>
      <w:r w:rsidR="00AD05F1" w:rsidRPr="00DF1530">
        <w:rPr>
          <w:lang w:val="ru-RU"/>
        </w:rPr>
        <w:t xml:space="preserve">на </w:t>
      </w:r>
      <w:r w:rsidR="000855A8" w:rsidRPr="00DF1530">
        <w:rPr>
          <w:lang w:val="ru-RU"/>
        </w:rPr>
        <w:t>региональны</w:t>
      </w:r>
      <w:r w:rsidR="00AD05F1" w:rsidRPr="00DF1530">
        <w:rPr>
          <w:lang w:val="ru-RU"/>
        </w:rPr>
        <w:t>х</w:t>
      </w:r>
      <w:r w:rsidR="008C7A93" w:rsidRPr="00DF1530">
        <w:rPr>
          <w:lang w:val="ru-RU"/>
        </w:rPr>
        <w:t xml:space="preserve"> </w:t>
      </w:r>
      <w:r w:rsidR="00AD05F1" w:rsidRPr="00DF1530">
        <w:rPr>
          <w:lang w:val="ru-RU"/>
        </w:rPr>
        <w:t>и муниципальных уровнях</w:t>
      </w:r>
      <w:r w:rsidR="008C7A93" w:rsidRPr="00DF1530">
        <w:rPr>
          <w:lang w:val="ru-RU"/>
        </w:rPr>
        <w:t xml:space="preserve">. </w:t>
      </w:r>
      <w:r w:rsidR="007C68D2" w:rsidRPr="00DF1530">
        <w:rPr>
          <w:lang w:val="ru-RU"/>
        </w:rPr>
        <w:t>Однако</w:t>
      </w:r>
      <w:r w:rsidR="008C7A93" w:rsidRPr="00DF1530">
        <w:rPr>
          <w:lang w:val="ru-RU"/>
        </w:rPr>
        <w:t xml:space="preserve"> </w:t>
      </w:r>
      <w:r w:rsidR="00AD05F1" w:rsidRPr="00DF1530">
        <w:rPr>
          <w:lang w:val="ru-RU"/>
        </w:rPr>
        <w:t>суб</w:t>
      </w:r>
      <w:r w:rsidR="0010795B" w:rsidRPr="00DF1530">
        <w:rPr>
          <w:lang w:val="ru-RU"/>
        </w:rPr>
        <w:t>национальны</w:t>
      </w:r>
      <w:r w:rsidR="00AD05F1" w:rsidRPr="00DF1530">
        <w:rPr>
          <w:lang w:val="ru-RU"/>
        </w:rPr>
        <w:t>е</w:t>
      </w:r>
      <w:r w:rsidR="008C7A93" w:rsidRPr="00DF1530">
        <w:rPr>
          <w:lang w:val="ru-RU"/>
        </w:rPr>
        <w:t xml:space="preserve"> </w:t>
      </w:r>
      <w:r w:rsidR="00AD05F1" w:rsidRPr="00DF1530">
        <w:rPr>
          <w:lang w:val="ru-RU"/>
        </w:rPr>
        <w:t>уровни</w:t>
      </w:r>
      <w:r w:rsidR="008C7A93" w:rsidRPr="00DF1530">
        <w:rPr>
          <w:lang w:val="ru-RU"/>
        </w:rPr>
        <w:t xml:space="preserve"> </w:t>
      </w:r>
      <w:r w:rsidR="00CD71D1" w:rsidRPr="00DF1530">
        <w:rPr>
          <w:lang w:val="ru-RU"/>
        </w:rPr>
        <w:t>правительств</w:t>
      </w:r>
      <w:r w:rsidR="00AD05F1" w:rsidRPr="00DF1530">
        <w:rPr>
          <w:lang w:val="ru-RU"/>
        </w:rPr>
        <w:t>а</w:t>
      </w:r>
      <w:r w:rsidR="008C7A93" w:rsidRPr="00DF1530">
        <w:rPr>
          <w:lang w:val="ru-RU"/>
        </w:rPr>
        <w:t xml:space="preserve"> </w:t>
      </w:r>
      <w:r w:rsidR="00AD05F1" w:rsidRPr="00DF1530">
        <w:rPr>
          <w:lang w:val="ru-RU"/>
        </w:rPr>
        <w:t xml:space="preserve">ограничены в способности осуществления </w:t>
      </w:r>
      <w:r w:rsidR="00E57A1C" w:rsidRPr="00DF1530">
        <w:rPr>
          <w:lang w:val="ru-RU"/>
        </w:rPr>
        <w:t>соответствующи</w:t>
      </w:r>
      <w:r w:rsidR="00AD05F1" w:rsidRPr="00DF1530">
        <w:rPr>
          <w:lang w:val="ru-RU"/>
        </w:rPr>
        <w:t>х</w:t>
      </w:r>
      <w:r w:rsidR="008C7A93" w:rsidRPr="00DF1530">
        <w:rPr>
          <w:lang w:val="ru-RU"/>
        </w:rPr>
        <w:t xml:space="preserve"> </w:t>
      </w:r>
      <w:r w:rsidR="0023536F" w:rsidRPr="00DF1530">
        <w:rPr>
          <w:lang w:val="ru-RU"/>
        </w:rPr>
        <w:t>программ</w:t>
      </w:r>
      <w:r w:rsidR="008C7A93" w:rsidRPr="00DF1530">
        <w:rPr>
          <w:lang w:val="ru-RU"/>
        </w:rPr>
        <w:t xml:space="preserve"> </w:t>
      </w:r>
      <w:r w:rsidR="00AD05F1" w:rsidRPr="00DF1530">
        <w:rPr>
          <w:lang w:val="ru-RU"/>
        </w:rPr>
        <w:t>по причине ограниченных бюджетов на экономическое развитие</w:t>
      </w:r>
      <w:r w:rsidR="008C7A93" w:rsidRPr="00DF1530">
        <w:rPr>
          <w:lang w:val="ru-RU"/>
        </w:rPr>
        <w:t xml:space="preserve">, </w:t>
      </w:r>
      <w:r w:rsidR="00AD05F1" w:rsidRPr="00DF1530">
        <w:rPr>
          <w:lang w:val="ru-RU"/>
        </w:rPr>
        <w:t xml:space="preserve">что заставляет их сильно полагаться на </w:t>
      </w:r>
      <w:r w:rsidR="0023536F" w:rsidRPr="00DF1530">
        <w:rPr>
          <w:lang w:val="ru-RU"/>
        </w:rPr>
        <w:t>программы</w:t>
      </w:r>
      <w:r w:rsidR="00AD05F1" w:rsidRPr="00DF1530">
        <w:rPr>
          <w:lang w:val="ru-RU"/>
        </w:rPr>
        <w:t>,</w:t>
      </w:r>
      <w:r w:rsidR="008C7A93" w:rsidRPr="00DF1530">
        <w:rPr>
          <w:lang w:val="ru-RU"/>
        </w:rPr>
        <w:t xml:space="preserve"> </w:t>
      </w:r>
      <w:r w:rsidR="00AD05F1" w:rsidRPr="00DF1530">
        <w:rPr>
          <w:lang w:val="ru-RU"/>
        </w:rPr>
        <w:t xml:space="preserve">финансируемые совместно с </w:t>
      </w:r>
      <w:r w:rsidR="00EB1372" w:rsidRPr="00DF1530">
        <w:rPr>
          <w:lang w:val="ru-RU"/>
        </w:rPr>
        <w:t>федеральны</w:t>
      </w:r>
      <w:r w:rsidR="00AD05F1" w:rsidRPr="00DF1530">
        <w:rPr>
          <w:lang w:val="ru-RU"/>
        </w:rPr>
        <w:t>м</w:t>
      </w:r>
      <w:r w:rsidR="008C7A93" w:rsidRPr="00DF1530">
        <w:rPr>
          <w:lang w:val="ru-RU"/>
        </w:rPr>
        <w:t xml:space="preserve"> </w:t>
      </w:r>
      <w:r w:rsidR="00CD71D1" w:rsidRPr="00DF1530">
        <w:rPr>
          <w:lang w:val="ru-RU"/>
        </w:rPr>
        <w:t>правительство</w:t>
      </w:r>
      <w:r w:rsidR="00AD05F1" w:rsidRPr="00DF1530">
        <w:rPr>
          <w:lang w:val="ru-RU"/>
        </w:rPr>
        <w:t>м</w:t>
      </w:r>
      <w:r w:rsidR="008C7A93" w:rsidRPr="00DF1530">
        <w:rPr>
          <w:lang w:val="ru-RU"/>
        </w:rPr>
        <w:t xml:space="preserve">. </w:t>
      </w:r>
      <w:r w:rsidR="00AD05F1" w:rsidRPr="00DF1530">
        <w:rPr>
          <w:lang w:val="ru-RU"/>
        </w:rPr>
        <w:t>Стоит отметить</w:t>
      </w:r>
      <w:r w:rsidR="008C7A93" w:rsidRPr="00DF1530">
        <w:rPr>
          <w:lang w:val="ru-RU"/>
        </w:rPr>
        <w:t xml:space="preserve">, </w:t>
      </w:r>
      <w:r w:rsidR="00AD05F1" w:rsidRPr="00DF1530">
        <w:rPr>
          <w:lang w:val="ru-RU"/>
        </w:rPr>
        <w:t xml:space="preserve">что </w:t>
      </w:r>
      <w:r w:rsidR="00BA1F08" w:rsidRPr="00DF1530">
        <w:rPr>
          <w:lang w:val="ru-RU"/>
        </w:rPr>
        <w:t>федеральная программа поддержки МСП</w:t>
      </w:r>
      <w:r w:rsidR="008C7A93" w:rsidRPr="00DF1530">
        <w:rPr>
          <w:lang w:val="ru-RU"/>
        </w:rPr>
        <w:t xml:space="preserve"> </w:t>
      </w:r>
      <w:r w:rsidR="00AD05F1" w:rsidRPr="00DF1530">
        <w:rPr>
          <w:lang w:val="ru-RU"/>
        </w:rPr>
        <w:t xml:space="preserve">предоставляет </w:t>
      </w:r>
      <w:r w:rsidR="005624E6" w:rsidRPr="00DF1530">
        <w:rPr>
          <w:lang w:val="ru-RU"/>
        </w:rPr>
        <w:t>возможность</w:t>
      </w:r>
      <w:r w:rsidR="008C7A93" w:rsidRPr="00DF1530">
        <w:rPr>
          <w:lang w:val="ru-RU"/>
        </w:rPr>
        <w:t xml:space="preserve"> </w:t>
      </w:r>
      <w:r w:rsidR="000855A8" w:rsidRPr="00DF1530">
        <w:rPr>
          <w:lang w:val="ru-RU"/>
        </w:rPr>
        <w:t>региональны</w:t>
      </w:r>
      <w:r w:rsidR="00AD05F1" w:rsidRPr="00DF1530">
        <w:rPr>
          <w:lang w:val="ru-RU"/>
        </w:rPr>
        <w:t>м</w:t>
      </w:r>
      <w:r w:rsidR="008C7A93" w:rsidRPr="00DF1530">
        <w:rPr>
          <w:lang w:val="ru-RU"/>
        </w:rPr>
        <w:t xml:space="preserve"> </w:t>
      </w:r>
      <w:r w:rsidR="00AD05F1" w:rsidRPr="00DF1530">
        <w:rPr>
          <w:lang w:val="ru-RU"/>
        </w:rPr>
        <w:t>и муниципальным</w:t>
      </w:r>
      <w:r w:rsidR="008C7A93" w:rsidRPr="00DF1530">
        <w:rPr>
          <w:lang w:val="ru-RU"/>
        </w:rPr>
        <w:t xml:space="preserve"> </w:t>
      </w:r>
      <w:r w:rsidR="00AD05F1" w:rsidRPr="00DF1530">
        <w:rPr>
          <w:lang w:val="ru-RU"/>
        </w:rPr>
        <w:t>правительствам</w:t>
      </w:r>
      <w:r w:rsidR="008C7A93" w:rsidRPr="00DF1530">
        <w:rPr>
          <w:lang w:val="ru-RU"/>
        </w:rPr>
        <w:t xml:space="preserve"> </w:t>
      </w:r>
      <w:r w:rsidR="00AD05F1" w:rsidRPr="00DF1530">
        <w:rPr>
          <w:lang w:val="ru-RU"/>
        </w:rPr>
        <w:t xml:space="preserve">предложить услуги и инфраструктуру для поддержки </w:t>
      </w:r>
      <w:r w:rsidR="003F5CB4" w:rsidRPr="00DF1530">
        <w:rPr>
          <w:lang w:val="ru-RU"/>
        </w:rPr>
        <w:t>МСП и предпринимательск</w:t>
      </w:r>
      <w:r w:rsidR="00AD05F1" w:rsidRPr="00DF1530">
        <w:rPr>
          <w:lang w:val="ru-RU"/>
        </w:rPr>
        <w:t>ой</w:t>
      </w:r>
      <w:r w:rsidR="003F5CB4" w:rsidRPr="00DF1530">
        <w:rPr>
          <w:lang w:val="ru-RU"/>
        </w:rPr>
        <w:t xml:space="preserve"> деятельност</w:t>
      </w:r>
      <w:r w:rsidR="00AD05F1" w:rsidRPr="00DF1530">
        <w:rPr>
          <w:lang w:val="ru-RU"/>
        </w:rPr>
        <w:t>и</w:t>
      </w:r>
      <w:r w:rsidR="008C7A93" w:rsidRPr="00DF1530">
        <w:rPr>
          <w:lang w:val="ru-RU"/>
        </w:rPr>
        <w:t xml:space="preserve"> </w:t>
      </w:r>
      <w:r w:rsidR="00AD05F1" w:rsidRPr="00DF1530">
        <w:rPr>
          <w:lang w:val="ru-RU"/>
        </w:rPr>
        <w:t xml:space="preserve">с </w:t>
      </w:r>
      <w:r w:rsidR="00EB1372" w:rsidRPr="00DF1530">
        <w:rPr>
          <w:lang w:val="ru-RU"/>
        </w:rPr>
        <w:t>федеральны</w:t>
      </w:r>
      <w:r w:rsidR="00AD05F1" w:rsidRPr="00DF1530">
        <w:rPr>
          <w:lang w:val="ru-RU"/>
        </w:rPr>
        <w:t>м</w:t>
      </w:r>
      <w:r w:rsidR="008C7A93" w:rsidRPr="00DF1530">
        <w:rPr>
          <w:lang w:val="ru-RU"/>
        </w:rPr>
        <w:t xml:space="preserve"> </w:t>
      </w:r>
      <w:r w:rsidR="00AD05F1" w:rsidRPr="00DF1530">
        <w:rPr>
          <w:lang w:val="ru-RU"/>
        </w:rPr>
        <w:t>софинансированием</w:t>
      </w:r>
      <w:r w:rsidR="008C7A93" w:rsidRPr="00DF1530">
        <w:rPr>
          <w:lang w:val="ru-RU"/>
        </w:rPr>
        <w:t xml:space="preserve"> </w:t>
      </w:r>
      <w:r w:rsidR="00AD05F1" w:rsidRPr="00DF1530">
        <w:rPr>
          <w:lang w:val="ru-RU"/>
        </w:rPr>
        <w:t xml:space="preserve">50-50 в обеспеченных </w:t>
      </w:r>
      <w:r w:rsidR="004750CA" w:rsidRPr="00DF1530">
        <w:rPr>
          <w:lang w:val="ru-RU"/>
        </w:rPr>
        <w:t>регион</w:t>
      </w:r>
      <w:r w:rsidR="00AD05F1" w:rsidRPr="00DF1530">
        <w:rPr>
          <w:lang w:val="ru-RU"/>
        </w:rPr>
        <w:t>ах</w:t>
      </w:r>
      <w:r w:rsidR="008C7A93" w:rsidRPr="00DF1530">
        <w:rPr>
          <w:lang w:val="ru-RU"/>
        </w:rPr>
        <w:t xml:space="preserve"> </w:t>
      </w:r>
      <w:r w:rsidR="00B93F34" w:rsidRPr="00DF1530">
        <w:rPr>
          <w:lang w:val="ru-RU"/>
        </w:rPr>
        <w:t>Москв</w:t>
      </w:r>
      <w:r w:rsidR="00AD05F1" w:rsidRPr="00DF1530">
        <w:rPr>
          <w:lang w:val="ru-RU"/>
        </w:rPr>
        <w:t>ы</w:t>
      </w:r>
      <w:r w:rsidR="008C7A93" w:rsidRPr="00DF1530">
        <w:rPr>
          <w:lang w:val="ru-RU"/>
        </w:rPr>
        <w:t xml:space="preserve"> </w:t>
      </w:r>
      <w:r w:rsidR="00AD05F1" w:rsidRPr="00DF1530">
        <w:rPr>
          <w:lang w:val="ru-RU"/>
        </w:rPr>
        <w:t xml:space="preserve">и </w:t>
      </w:r>
      <w:r w:rsidR="00B93F34" w:rsidRPr="00DF1530">
        <w:rPr>
          <w:lang w:val="ru-RU"/>
        </w:rPr>
        <w:t>Санкт-Петербург</w:t>
      </w:r>
      <w:r w:rsidR="00AD05F1" w:rsidRPr="00DF1530">
        <w:rPr>
          <w:lang w:val="ru-RU"/>
        </w:rPr>
        <w:t>а</w:t>
      </w:r>
      <w:r w:rsidR="008C7A93" w:rsidRPr="00DF1530">
        <w:rPr>
          <w:lang w:val="ru-RU"/>
        </w:rPr>
        <w:t xml:space="preserve"> </w:t>
      </w:r>
      <w:r w:rsidR="00AD05F1" w:rsidRPr="00DF1530">
        <w:rPr>
          <w:lang w:val="ru-RU"/>
        </w:rPr>
        <w:t>и федеральным софинансированием 80-20 в менее обеспеченных регионах</w:t>
      </w:r>
      <w:r w:rsidR="008C7A93" w:rsidRPr="00DF1530">
        <w:rPr>
          <w:lang w:val="ru-RU"/>
        </w:rPr>
        <w:t xml:space="preserve">. </w:t>
      </w:r>
      <w:r w:rsidR="0047268B" w:rsidRPr="00DF1530">
        <w:rPr>
          <w:lang w:val="ru-RU"/>
        </w:rPr>
        <w:t>Несмотря на</w:t>
      </w:r>
      <w:r w:rsidR="008C7A93" w:rsidRPr="00DF1530">
        <w:rPr>
          <w:lang w:val="ru-RU"/>
        </w:rPr>
        <w:t xml:space="preserve"> </w:t>
      </w:r>
      <w:r w:rsidR="00AD05F1" w:rsidRPr="00DF1530">
        <w:rPr>
          <w:lang w:val="ru-RU"/>
        </w:rPr>
        <w:t xml:space="preserve">преимущества этого </w:t>
      </w:r>
      <w:r w:rsidR="00CC624E" w:rsidRPr="00DF1530">
        <w:rPr>
          <w:lang w:val="ru-RU"/>
        </w:rPr>
        <w:t xml:space="preserve">совместного </w:t>
      </w:r>
      <w:r w:rsidR="00CC624E" w:rsidRPr="00DF1530">
        <w:rPr>
          <w:lang w:val="ru-RU"/>
        </w:rPr>
        <w:lastRenderedPageBreak/>
        <w:t>финансирования</w:t>
      </w:r>
      <w:r w:rsidR="00AD05F1" w:rsidRPr="00DF1530">
        <w:rPr>
          <w:lang w:val="ru-RU"/>
        </w:rPr>
        <w:t xml:space="preserve"> в расширении мер на всю страну и приведени</w:t>
      </w:r>
      <w:r w:rsidR="008A74CF" w:rsidRPr="00DF1530">
        <w:rPr>
          <w:lang w:val="ru-RU"/>
        </w:rPr>
        <w:t>и</w:t>
      </w:r>
      <w:r w:rsidR="00AD05F1" w:rsidRPr="00DF1530">
        <w:rPr>
          <w:lang w:val="ru-RU"/>
        </w:rPr>
        <w:t xml:space="preserve"> в соответствие </w:t>
      </w:r>
      <w:r w:rsidR="00EB1372" w:rsidRPr="00DF1530">
        <w:rPr>
          <w:lang w:val="ru-RU"/>
        </w:rPr>
        <w:t>федеральн</w:t>
      </w:r>
      <w:r w:rsidR="00AD05F1" w:rsidRPr="00DF1530">
        <w:rPr>
          <w:lang w:val="ru-RU"/>
        </w:rPr>
        <w:t>о</w:t>
      </w:r>
      <w:r w:rsidR="00EB1372" w:rsidRPr="00DF1530">
        <w:rPr>
          <w:lang w:val="ru-RU"/>
        </w:rPr>
        <w:t>й</w:t>
      </w:r>
      <w:r w:rsidR="008C7A93" w:rsidRPr="00DF1530">
        <w:rPr>
          <w:lang w:val="ru-RU"/>
        </w:rPr>
        <w:t xml:space="preserve">, </w:t>
      </w:r>
      <w:r w:rsidR="000855A8" w:rsidRPr="00DF1530">
        <w:rPr>
          <w:lang w:val="ru-RU"/>
        </w:rPr>
        <w:t>региональн</w:t>
      </w:r>
      <w:r w:rsidR="00AD05F1" w:rsidRPr="00DF1530">
        <w:rPr>
          <w:lang w:val="ru-RU"/>
        </w:rPr>
        <w:t>ой и муниципальной</w:t>
      </w:r>
      <w:r w:rsidR="008C7A93" w:rsidRPr="00DF1530">
        <w:rPr>
          <w:lang w:val="ru-RU"/>
        </w:rPr>
        <w:t xml:space="preserve"> </w:t>
      </w:r>
      <w:r w:rsidR="00AD05F1" w:rsidRPr="00DF1530">
        <w:rPr>
          <w:lang w:val="ru-RU"/>
        </w:rPr>
        <w:t>политики</w:t>
      </w:r>
      <w:r w:rsidR="008C7A93" w:rsidRPr="00DF1530">
        <w:rPr>
          <w:lang w:val="ru-RU"/>
        </w:rPr>
        <w:t xml:space="preserve">, </w:t>
      </w:r>
      <w:r w:rsidR="00AD05F1" w:rsidRPr="00DF1530">
        <w:rPr>
          <w:lang w:val="ru-RU"/>
        </w:rPr>
        <w:t xml:space="preserve">проблема в том, что многие </w:t>
      </w:r>
      <w:r w:rsidR="004750CA" w:rsidRPr="00DF1530">
        <w:rPr>
          <w:lang w:val="ru-RU"/>
        </w:rPr>
        <w:t>регионы</w:t>
      </w:r>
      <w:r w:rsidR="008C7A93" w:rsidRPr="00DF1530">
        <w:rPr>
          <w:lang w:val="ru-RU"/>
        </w:rPr>
        <w:t xml:space="preserve"> </w:t>
      </w:r>
      <w:r w:rsidR="00AD05F1" w:rsidRPr="00DF1530">
        <w:rPr>
          <w:lang w:val="ru-RU"/>
        </w:rPr>
        <w:t xml:space="preserve">не подают заявки на участие в некоторых компонентах </w:t>
      </w:r>
      <w:r w:rsidR="0023536F" w:rsidRPr="00DF1530">
        <w:rPr>
          <w:lang w:val="ru-RU"/>
        </w:rPr>
        <w:t>программ</w:t>
      </w:r>
      <w:r w:rsidR="00AD05F1" w:rsidRPr="00DF1530">
        <w:rPr>
          <w:lang w:val="ru-RU"/>
        </w:rPr>
        <w:t>ы</w:t>
      </w:r>
      <w:r w:rsidR="008C7A93" w:rsidRPr="00DF1530">
        <w:rPr>
          <w:lang w:val="ru-RU"/>
        </w:rPr>
        <w:t xml:space="preserve">, </w:t>
      </w:r>
      <w:r w:rsidR="00AD05F1" w:rsidRPr="00DF1530">
        <w:rPr>
          <w:lang w:val="ru-RU"/>
        </w:rPr>
        <w:t xml:space="preserve">а другие подают заявки, неприемлемые для </w:t>
      </w:r>
      <w:r w:rsidR="00EB1372" w:rsidRPr="00DF1530">
        <w:rPr>
          <w:lang w:val="ru-RU"/>
        </w:rPr>
        <w:t>федеральн</w:t>
      </w:r>
      <w:r w:rsidR="00AD05F1" w:rsidRPr="00DF1530">
        <w:rPr>
          <w:lang w:val="ru-RU"/>
        </w:rPr>
        <w:t>ого</w:t>
      </w:r>
      <w:r w:rsidR="008C7A93" w:rsidRPr="00DF1530">
        <w:rPr>
          <w:lang w:val="ru-RU"/>
        </w:rPr>
        <w:t xml:space="preserve"> </w:t>
      </w:r>
      <w:r w:rsidR="00CD71D1" w:rsidRPr="00DF1530">
        <w:rPr>
          <w:lang w:val="ru-RU"/>
        </w:rPr>
        <w:t>правительств</w:t>
      </w:r>
      <w:r w:rsidR="00AD05F1" w:rsidRPr="00DF1530">
        <w:rPr>
          <w:lang w:val="ru-RU"/>
        </w:rPr>
        <w:t>а</w:t>
      </w:r>
      <w:r w:rsidR="008C7A93" w:rsidRPr="00DF1530">
        <w:rPr>
          <w:lang w:val="ru-RU"/>
        </w:rPr>
        <w:t xml:space="preserve">. </w:t>
      </w:r>
      <w:r w:rsidR="00AD05F1" w:rsidRPr="00DF1530">
        <w:rPr>
          <w:lang w:val="ru-RU"/>
        </w:rPr>
        <w:t xml:space="preserve">Как показано на </w:t>
      </w:r>
      <w:r w:rsidR="00592D7B" w:rsidRPr="00DF1530">
        <w:rPr>
          <w:lang w:val="ru-RU"/>
        </w:rPr>
        <w:t>Рисунк</w:t>
      </w:r>
      <w:r w:rsidR="00AD05F1" w:rsidRPr="00DF1530">
        <w:rPr>
          <w:lang w:val="ru-RU"/>
        </w:rPr>
        <w:t>е</w:t>
      </w:r>
      <w:r w:rsidR="008C7A93" w:rsidRPr="00DF1530">
        <w:rPr>
          <w:lang w:val="ru-RU"/>
        </w:rPr>
        <w:t xml:space="preserve"> 1.17, </w:t>
      </w:r>
      <w:r w:rsidR="00AD05F1" w:rsidRPr="00DF1530">
        <w:rPr>
          <w:lang w:val="ru-RU"/>
        </w:rPr>
        <w:t xml:space="preserve">всего </w:t>
      </w:r>
      <w:r w:rsidR="008C7A93" w:rsidRPr="00DF1530">
        <w:rPr>
          <w:lang w:val="ru-RU"/>
        </w:rPr>
        <w:t xml:space="preserve">16 </w:t>
      </w:r>
      <w:r w:rsidR="004750CA" w:rsidRPr="00DF1530">
        <w:rPr>
          <w:lang w:val="ru-RU"/>
        </w:rPr>
        <w:t>регион</w:t>
      </w:r>
      <w:r w:rsidR="00AD05F1" w:rsidRPr="00DF1530">
        <w:rPr>
          <w:lang w:val="ru-RU"/>
        </w:rPr>
        <w:t>ов</w:t>
      </w:r>
      <w:r w:rsidR="008C7A93" w:rsidRPr="00DF1530">
        <w:rPr>
          <w:lang w:val="ru-RU"/>
        </w:rPr>
        <w:t xml:space="preserve"> </w:t>
      </w:r>
      <w:r w:rsidR="00CB6561" w:rsidRPr="00DF1530">
        <w:rPr>
          <w:lang w:val="ru-RU"/>
        </w:rPr>
        <w:t>участвовали в компоненте «</w:t>
      </w:r>
      <w:r w:rsidR="005E6F7D" w:rsidRPr="00DF1530">
        <w:rPr>
          <w:lang w:val="ru-RU"/>
        </w:rPr>
        <w:t>инфраструктура для поддержки предпринимательской деятельности</w:t>
      </w:r>
      <w:r w:rsidR="00CB6561" w:rsidRPr="00DF1530">
        <w:rPr>
          <w:lang w:val="ru-RU"/>
        </w:rPr>
        <w:t>»</w:t>
      </w:r>
      <w:r w:rsidR="008C7A93" w:rsidRPr="00DF1530">
        <w:rPr>
          <w:lang w:val="ru-RU"/>
        </w:rPr>
        <w:t xml:space="preserve"> </w:t>
      </w:r>
      <w:r w:rsidR="00BA1F08" w:rsidRPr="00DF1530">
        <w:rPr>
          <w:lang w:val="ru-RU"/>
        </w:rPr>
        <w:t>федеральн</w:t>
      </w:r>
      <w:r w:rsidR="00CB6561" w:rsidRPr="00DF1530">
        <w:rPr>
          <w:lang w:val="ru-RU"/>
        </w:rPr>
        <w:t>ой</w:t>
      </w:r>
      <w:r w:rsidR="00BA1F08" w:rsidRPr="00DF1530">
        <w:rPr>
          <w:lang w:val="ru-RU"/>
        </w:rPr>
        <w:t xml:space="preserve"> программ</w:t>
      </w:r>
      <w:r w:rsidR="00CB6561" w:rsidRPr="00DF1530">
        <w:rPr>
          <w:lang w:val="ru-RU"/>
        </w:rPr>
        <w:t>ы</w:t>
      </w:r>
      <w:r w:rsidR="00BA1F08" w:rsidRPr="00DF1530">
        <w:rPr>
          <w:lang w:val="ru-RU"/>
        </w:rPr>
        <w:t xml:space="preserve"> поддержки МСП</w:t>
      </w:r>
      <w:r w:rsidR="008C7A93" w:rsidRPr="00DF1530">
        <w:rPr>
          <w:lang w:val="ru-RU"/>
        </w:rPr>
        <w:t xml:space="preserve"> </w:t>
      </w:r>
      <w:r w:rsidR="00F736B7" w:rsidRPr="00DF1530">
        <w:rPr>
          <w:lang w:val="ru-RU"/>
        </w:rPr>
        <w:t>в 2012 году</w:t>
      </w:r>
      <w:r w:rsidR="008C7A93" w:rsidRPr="00DF1530">
        <w:rPr>
          <w:lang w:val="ru-RU"/>
        </w:rPr>
        <w:t xml:space="preserve">, </w:t>
      </w:r>
      <w:r w:rsidR="00CB6561" w:rsidRPr="00DF1530">
        <w:rPr>
          <w:lang w:val="ru-RU"/>
        </w:rPr>
        <w:t xml:space="preserve">и менее половины </w:t>
      </w:r>
      <w:r w:rsidR="004750CA" w:rsidRPr="00DF1530">
        <w:rPr>
          <w:lang w:val="ru-RU"/>
        </w:rPr>
        <w:t>регион</w:t>
      </w:r>
      <w:r w:rsidR="00CB6561" w:rsidRPr="00DF1530">
        <w:rPr>
          <w:lang w:val="ru-RU"/>
        </w:rPr>
        <w:t>ов</w:t>
      </w:r>
      <w:r w:rsidR="008C7A93" w:rsidRPr="00DF1530">
        <w:rPr>
          <w:lang w:val="ru-RU"/>
        </w:rPr>
        <w:t xml:space="preserve"> </w:t>
      </w:r>
      <w:r w:rsidR="00CB6561" w:rsidRPr="00DF1530">
        <w:rPr>
          <w:lang w:val="ru-RU"/>
        </w:rPr>
        <w:t>участвовали в компонентах «</w:t>
      </w:r>
      <w:r w:rsidR="000D542E" w:rsidRPr="00DF1530">
        <w:rPr>
          <w:lang w:val="ru-RU"/>
        </w:rPr>
        <w:t>экспортно-ориентированн</w:t>
      </w:r>
      <w:r w:rsidR="00CB6561" w:rsidRPr="00DF1530">
        <w:rPr>
          <w:lang w:val="ru-RU"/>
        </w:rPr>
        <w:t xml:space="preserve">ые </w:t>
      </w:r>
      <w:r w:rsidR="00834072" w:rsidRPr="00DF1530">
        <w:rPr>
          <w:lang w:val="ru-RU"/>
        </w:rPr>
        <w:t>МСП</w:t>
      </w:r>
      <w:r w:rsidR="00CB6561" w:rsidRPr="00DF1530">
        <w:rPr>
          <w:lang w:val="ru-RU"/>
        </w:rPr>
        <w:t>»</w:t>
      </w:r>
      <w:r w:rsidR="008C7A93" w:rsidRPr="00DF1530">
        <w:rPr>
          <w:lang w:val="ru-RU"/>
        </w:rPr>
        <w:t xml:space="preserve">, </w:t>
      </w:r>
      <w:r w:rsidR="00CB6561" w:rsidRPr="00DF1530">
        <w:rPr>
          <w:lang w:val="ru-RU"/>
        </w:rPr>
        <w:t>«</w:t>
      </w:r>
      <w:r w:rsidR="00494100" w:rsidRPr="00DF1530">
        <w:rPr>
          <w:lang w:val="ru-RU"/>
        </w:rPr>
        <w:t>микрофинансирование</w:t>
      </w:r>
      <w:r w:rsidR="00CB6561" w:rsidRPr="00DF1530">
        <w:rPr>
          <w:lang w:val="ru-RU"/>
        </w:rPr>
        <w:t>»</w:t>
      </w:r>
      <w:r w:rsidR="008C7A93" w:rsidRPr="00DF1530">
        <w:rPr>
          <w:lang w:val="ru-RU"/>
        </w:rPr>
        <w:t xml:space="preserve">, </w:t>
      </w:r>
      <w:r w:rsidR="00CB6561" w:rsidRPr="00DF1530">
        <w:rPr>
          <w:lang w:val="ru-RU"/>
        </w:rPr>
        <w:t>«кредитные гарантии» и «</w:t>
      </w:r>
      <w:r w:rsidR="00AD05F1" w:rsidRPr="00DF1530">
        <w:rPr>
          <w:lang w:val="ru-RU"/>
        </w:rPr>
        <w:t>муниципальн</w:t>
      </w:r>
      <w:r w:rsidR="00CB6561" w:rsidRPr="00DF1530">
        <w:rPr>
          <w:lang w:val="ru-RU"/>
        </w:rPr>
        <w:t xml:space="preserve">ая </w:t>
      </w:r>
      <w:r w:rsidR="0023536F" w:rsidRPr="00DF1530">
        <w:rPr>
          <w:lang w:val="ru-RU"/>
        </w:rPr>
        <w:t>программа</w:t>
      </w:r>
      <w:r w:rsidR="00CB6561" w:rsidRPr="00DF1530">
        <w:rPr>
          <w:lang w:val="ru-RU"/>
        </w:rPr>
        <w:t>»</w:t>
      </w:r>
      <w:r w:rsidR="008C7A93" w:rsidRPr="00DF1530">
        <w:rPr>
          <w:lang w:val="ru-RU"/>
        </w:rPr>
        <w:t xml:space="preserve">. </w:t>
      </w:r>
    </w:p>
    <w:p w:rsidR="008C7A93" w:rsidRPr="00DF1530" w:rsidRDefault="00592D7B" w:rsidP="008C7A93">
      <w:pPr>
        <w:pStyle w:val="FigureTitle"/>
        <w:rPr>
          <w:lang w:val="ru-RU"/>
        </w:rPr>
      </w:pPr>
      <w:r w:rsidRPr="00DF1530">
        <w:rPr>
          <w:lang w:val="ru-RU"/>
        </w:rPr>
        <w:t>Рисунок</w:t>
      </w:r>
      <w:r w:rsidR="008C7A93" w:rsidRPr="00DF1530">
        <w:rPr>
          <w:lang w:val="ru-RU"/>
        </w:rPr>
        <w:t xml:space="preserve"> 1.17 </w:t>
      </w:r>
      <w:r w:rsidR="000855A8" w:rsidRPr="00DF1530">
        <w:rPr>
          <w:lang w:val="ru-RU"/>
        </w:rPr>
        <w:t>Региональн</w:t>
      </w:r>
      <w:r w:rsidR="008F4D83" w:rsidRPr="00DF1530">
        <w:rPr>
          <w:lang w:val="ru-RU"/>
        </w:rPr>
        <w:t>о</w:t>
      </w:r>
      <w:r w:rsidR="000855A8" w:rsidRPr="00DF1530">
        <w:rPr>
          <w:lang w:val="ru-RU"/>
        </w:rPr>
        <w:t>е</w:t>
      </w:r>
      <w:r w:rsidR="008C7A93" w:rsidRPr="00DF1530">
        <w:rPr>
          <w:lang w:val="ru-RU"/>
        </w:rPr>
        <w:t xml:space="preserve"> </w:t>
      </w:r>
      <w:r w:rsidR="008F4D83" w:rsidRPr="00DF1530">
        <w:rPr>
          <w:lang w:val="ru-RU"/>
        </w:rPr>
        <w:t xml:space="preserve">участие в компонентах </w:t>
      </w:r>
      <w:r w:rsidR="00EB1372" w:rsidRPr="00DF1530">
        <w:rPr>
          <w:lang w:val="ru-RU"/>
        </w:rPr>
        <w:t>федеральн</w:t>
      </w:r>
      <w:r w:rsidR="008F4D83" w:rsidRPr="00DF1530">
        <w:rPr>
          <w:lang w:val="ru-RU"/>
        </w:rPr>
        <w:t>о</w:t>
      </w:r>
      <w:r w:rsidR="00EB1372" w:rsidRPr="00DF1530">
        <w:rPr>
          <w:lang w:val="ru-RU"/>
        </w:rPr>
        <w:t>й</w:t>
      </w:r>
      <w:r w:rsidR="008C7A93" w:rsidRPr="00DF1530">
        <w:rPr>
          <w:lang w:val="ru-RU"/>
        </w:rPr>
        <w:t xml:space="preserve"> </w:t>
      </w:r>
      <w:r w:rsidR="008F4D83" w:rsidRPr="00DF1530">
        <w:rPr>
          <w:lang w:val="ru-RU"/>
        </w:rPr>
        <w:t xml:space="preserve">программы поддержки </w:t>
      </w:r>
      <w:r w:rsidR="00834072" w:rsidRPr="00DF1530">
        <w:rPr>
          <w:lang w:val="ru-RU"/>
        </w:rPr>
        <w:t>МСП</w:t>
      </w:r>
      <w:r w:rsidR="008C7A93" w:rsidRPr="00DF1530">
        <w:rPr>
          <w:lang w:val="ru-RU"/>
        </w:rPr>
        <w:t>, 2012</w:t>
      </w:r>
      <w:r w:rsidR="008F4D83" w:rsidRPr="00DF1530">
        <w:rPr>
          <w:lang w:val="ru-RU"/>
        </w:rPr>
        <w:t> г.</w:t>
      </w:r>
      <w:r w:rsidR="009030BD" w:rsidRPr="00DF1530">
        <w:rPr>
          <w:lang w:val="ru-RU"/>
        </w:rPr>
        <w:fldChar w:fldCharType="begin"/>
      </w:r>
      <w:r w:rsidR="008C7A93" w:rsidRPr="00DF1530">
        <w:rPr>
          <w:lang w:val="ru-RU"/>
        </w:rPr>
        <w:instrText xml:space="preserve"> TC \f f \l 2 "Figure 1.17 Regional participation in federal SME fund programme components, 2012"  </w:instrText>
      </w:r>
      <w:r w:rsidR="009030BD" w:rsidRPr="00DF1530">
        <w:rPr>
          <w:lang w:val="ru-RU"/>
        </w:rPr>
        <w:fldChar w:fldCharType="end"/>
      </w:r>
    </w:p>
    <w:p w:rsidR="008C7A93" w:rsidRPr="00DF1530" w:rsidRDefault="008C7A93" w:rsidP="008C7A93">
      <w:pPr>
        <w:pStyle w:val="Graphic"/>
        <w:rPr>
          <w:lang w:val="ru-RU"/>
        </w:rPr>
      </w:pPr>
      <w:r w:rsidRPr="00DF1530">
        <w:rPr>
          <w:noProof/>
          <w:lang w:val="ru-RU" w:eastAsia="ru-RU"/>
        </w:rPr>
        <w:drawing>
          <wp:inline distT="0" distB="0" distL="0" distR="0">
            <wp:extent cx="6062257" cy="444260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9467" cy="4440559"/>
                    </a:xfrm>
                    <a:prstGeom prst="rect">
                      <a:avLst/>
                    </a:prstGeom>
                    <a:noFill/>
                  </pic:spPr>
                </pic:pic>
              </a:graphicData>
            </a:graphic>
          </wp:inline>
        </w:drawing>
      </w:r>
    </w:p>
    <w:p w:rsidR="00227AB0" w:rsidRPr="00DF1530" w:rsidRDefault="00227AB0" w:rsidP="008C7A93">
      <w:pPr>
        <w:pStyle w:val="FigureNote"/>
        <w:rPr>
          <w:i/>
          <w:lang w:val="ru-RU"/>
        </w:rPr>
      </w:pPr>
    </w:p>
    <w:tbl>
      <w:tblPr>
        <w:tblStyle w:val="affff9"/>
        <w:tblW w:w="5000" w:type="pct"/>
        <w:tblLook w:val="04A0"/>
      </w:tblPr>
      <w:tblGrid>
        <w:gridCol w:w="4644"/>
        <w:gridCol w:w="4644"/>
      </w:tblGrid>
      <w:tr w:rsidR="00227AB0" w:rsidRPr="00953748" w:rsidTr="00227AB0">
        <w:tc>
          <w:tcPr>
            <w:tcW w:w="2500" w:type="pct"/>
            <w:tcBorders>
              <w:top w:val="nil"/>
              <w:left w:val="nil"/>
              <w:bottom w:val="nil"/>
              <w:right w:val="nil"/>
            </w:tcBorders>
          </w:tcPr>
          <w:p w:rsidR="00227AB0" w:rsidRPr="00DF1530" w:rsidRDefault="00227AB0" w:rsidP="008C7A93">
            <w:pPr>
              <w:pStyle w:val="FigureNote"/>
              <w:rPr>
                <w:lang w:val="ru-RU"/>
              </w:rPr>
            </w:pPr>
            <w:r w:rsidRPr="00DF1530">
              <w:rPr>
                <w:lang w:val="ru-RU"/>
              </w:rPr>
              <w:t>Выделенные средства, в миллиардах рублей (по левой вертикальной оси)</w:t>
            </w:r>
          </w:p>
        </w:tc>
        <w:tc>
          <w:tcPr>
            <w:tcW w:w="2500" w:type="pct"/>
            <w:tcBorders>
              <w:top w:val="nil"/>
              <w:left w:val="nil"/>
              <w:bottom w:val="nil"/>
              <w:right w:val="nil"/>
            </w:tcBorders>
          </w:tcPr>
          <w:p w:rsidR="00227AB0" w:rsidRPr="00DF1530" w:rsidRDefault="00227AB0" w:rsidP="00227AB0">
            <w:pPr>
              <w:pStyle w:val="FigureNote"/>
              <w:rPr>
                <w:lang w:val="ru-RU"/>
              </w:rPr>
            </w:pPr>
            <w:r w:rsidRPr="00DF1530">
              <w:rPr>
                <w:lang w:val="ru-RU"/>
              </w:rPr>
              <w:t>Количество участвующих регионов (по правой вертикальной оси)</w:t>
            </w:r>
          </w:p>
        </w:tc>
      </w:tr>
    </w:tbl>
    <w:p w:rsidR="00227AB0" w:rsidRPr="00DF1530" w:rsidRDefault="00227AB0" w:rsidP="008C7A93">
      <w:pPr>
        <w:pStyle w:val="FigureNote"/>
        <w:rPr>
          <w:i/>
          <w:lang w:val="ru-RU"/>
        </w:rPr>
      </w:pPr>
    </w:p>
    <w:p w:rsidR="00227AB0" w:rsidRPr="00DF1530" w:rsidRDefault="00227AB0" w:rsidP="008C7A93">
      <w:pPr>
        <w:pStyle w:val="FigureNote"/>
        <w:rPr>
          <w:lang w:val="ru-RU"/>
        </w:rPr>
      </w:pPr>
      <w:r w:rsidRPr="00DF1530">
        <w:rPr>
          <w:lang w:val="ru-RU"/>
        </w:rPr>
        <w:t>Предпринимательская деятельность и вновь создаваемые предприятия</w:t>
      </w:r>
    </w:p>
    <w:p w:rsidR="00227AB0" w:rsidRPr="00DF1530" w:rsidRDefault="00227AB0" w:rsidP="008C7A93">
      <w:pPr>
        <w:pStyle w:val="FigureNote"/>
        <w:rPr>
          <w:lang w:val="ru-RU"/>
        </w:rPr>
      </w:pPr>
      <w:r w:rsidRPr="00DF1530">
        <w:rPr>
          <w:lang w:val="ru-RU"/>
        </w:rPr>
        <w:t>Молодежная предпринимательская деятельность</w:t>
      </w:r>
    </w:p>
    <w:p w:rsidR="00227AB0" w:rsidRPr="00DF1530" w:rsidRDefault="00227AB0" w:rsidP="008C7A93">
      <w:pPr>
        <w:pStyle w:val="FigureNote"/>
        <w:rPr>
          <w:lang w:val="ru-RU"/>
        </w:rPr>
      </w:pPr>
      <w:r w:rsidRPr="00DF1530">
        <w:rPr>
          <w:lang w:val="ru-RU"/>
        </w:rPr>
        <w:t>Инновационные МСП</w:t>
      </w:r>
    </w:p>
    <w:p w:rsidR="00227AB0" w:rsidRPr="00DF1530" w:rsidRDefault="00075688" w:rsidP="008C7A93">
      <w:pPr>
        <w:pStyle w:val="FigureNote"/>
        <w:rPr>
          <w:lang w:val="ru-RU"/>
        </w:rPr>
      </w:pPr>
      <w:r w:rsidRPr="00DF1530">
        <w:rPr>
          <w:lang w:val="ru-RU"/>
        </w:rPr>
        <w:t>Производственное</w:t>
      </w:r>
      <w:r w:rsidR="00227AB0" w:rsidRPr="00DF1530">
        <w:rPr>
          <w:lang w:val="ru-RU"/>
        </w:rPr>
        <w:t xml:space="preserve"> оборудование</w:t>
      </w:r>
    </w:p>
    <w:p w:rsidR="00227AB0" w:rsidRPr="00DF1530" w:rsidRDefault="000D542E" w:rsidP="008C7A93">
      <w:pPr>
        <w:pStyle w:val="FigureNote"/>
        <w:rPr>
          <w:lang w:val="ru-RU"/>
        </w:rPr>
      </w:pPr>
      <w:r w:rsidRPr="00DF1530">
        <w:rPr>
          <w:lang w:val="ru-RU"/>
        </w:rPr>
        <w:t>Экспортно-ориентированн</w:t>
      </w:r>
      <w:r w:rsidR="00227AB0" w:rsidRPr="00DF1530">
        <w:rPr>
          <w:lang w:val="ru-RU"/>
        </w:rPr>
        <w:t>ые МСП</w:t>
      </w:r>
    </w:p>
    <w:p w:rsidR="00227AB0" w:rsidRPr="00DF1530" w:rsidRDefault="00227AB0" w:rsidP="008C7A93">
      <w:pPr>
        <w:pStyle w:val="FigureNote"/>
        <w:rPr>
          <w:lang w:val="ru-RU"/>
        </w:rPr>
      </w:pPr>
      <w:r w:rsidRPr="00DF1530">
        <w:rPr>
          <w:lang w:val="ru-RU"/>
        </w:rPr>
        <w:lastRenderedPageBreak/>
        <w:t>Микрофинансирование</w:t>
      </w:r>
    </w:p>
    <w:p w:rsidR="00227AB0" w:rsidRPr="00DF1530" w:rsidRDefault="00227AB0" w:rsidP="008C7A93">
      <w:pPr>
        <w:pStyle w:val="FigureNote"/>
        <w:rPr>
          <w:lang w:val="ru-RU"/>
        </w:rPr>
      </w:pPr>
      <w:r w:rsidRPr="00DF1530">
        <w:rPr>
          <w:lang w:val="ru-RU"/>
        </w:rPr>
        <w:t>Фонды кредитных гарантий</w:t>
      </w:r>
    </w:p>
    <w:p w:rsidR="00227AB0" w:rsidRPr="00DF1530" w:rsidRDefault="00227AB0" w:rsidP="008C7A93">
      <w:pPr>
        <w:pStyle w:val="FigureNote"/>
        <w:rPr>
          <w:lang w:val="ru-RU"/>
        </w:rPr>
      </w:pPr>
      <w:r w:rsidRPr="00DF1530">
        <w:rPr>
          <w:lang w:val="ru-RU"/>
        </w:rPr>
        <w:t>Муниципальные программы</w:t>
      </w:r>
    </w:p>
    <w:p w:rsidR="00227AB0" w:rsidRPr="00DF1530" w:rsidRDefault="00227AB0" w:rsidP="008C7A93">
      <w:pPr>
        <w:pStyle w:val="FigureNote"/>
        <w:rPr>
          <w:lang w:val="ru-RU"/>
        </w:rPr>
      </w:pPr>
      <w:r w:rsidRPr="00DF1530">
        <w:rPr>
          <w:lang w:val="ru-RU"/>
        </w:rPr>
        <w:t>Города с градообразующими предприятиями</w:t>
      </w:r>
    </w:p>
    <w:p w:rsidR="00227AB0" w:rsidRPr="00DF1530" w:rsidRDefault="00227AB0" w:rsidP="008C7A93">
      <w:pPr>
        <w:pStyle w:val="FigureNote"/>
        <w:rPr>
          <w:lang w:val="ru-RU"/>
        </w:rPr>
      </w:pPr>
      <w:r w:rsidRPr="00DF1530">
        <w:rPr>
          <w:lang w:val="ru-RU"/>
        </w:rPr>
        <w:t>Прочее</w:t>
      </w:r>
    </w:p>
    <w:p w:rsidR="00227AB0" w:rsidRPr="00DF1530" w:rsidRDefault="00227AB0" w:rsidP="008C7A93">
      <w:pPr>
        <w:pStyle w:val="FigureNote"/>
        <w:rPr>
          <w:lang w:val="ru-RU"/>
        </w:rPr>
      </w:pPr>
      <w:r w:rsidRPr="00DF1530">
        <w:rPr>
          <w:lang w:val="ru-RU"/>
        </w:rPr>
        <w:t>Инфраструктура для поддержки предпринимательской деятельности</w:t>
      </w:r>
    </w:p>
    <w:p w:rsidR="00227AB0" w:rsidRPr="00DF1530" w:rsidRDefault="00227AB0" w:rsidP="008C7A93">
      <w:pPr>
        <w:pStyle w:val="FigureNote"/>
        <w:rPr>
          <w:i/>
          <w:lang w:val="ru-RU"/>
        </w:rPr>
      </w:pPr>
    </w:p>
    <w:p w:rsidR="008C7A93" w:rsidRPr="00DF1530" w:rsidRDefault="00227AB0" w:rsidP="008C7A93">
      <w:pPr>
        <w:pStyle w:val="FigureNote"/>
        <w:rPr>
          <w:lang w:val="ru-RU"/>
        </w:rPr>
      </w:pPr>
      <w:r w:rsidRPr="00DF1530">
        <w:rPr>
          <w:i/>
          <w:lang w:val="ru-RU"/>
        </w:rPr>
        <w:t>Примечания:</w:t>
      </w:r>
      <w:r w:rsidRPr="00DF1530">
        <w:rPr>
          <w:lang w:val="ru-RU"/>
        </w:rPr>
        <w:t xml:space="preserve"> «Прочее» не указано в предоставленной информации, но включает поддержку мероприятий по развитию предпринимательской деятельности и разработке системы обучения персонала, переобучения и повышения квалификации для сектора малых предприятий (направления на обучение, возмещение расходов на обучение/переобучение и организация учебных мероприятий).</w:t>
      </w:r>
    </w:p>
    <w:p w:rsidR="008C7A93" w:rsidRPr="00DF1530" w:rsidRDefault="00227AB0" w:rsidP="008C7A93">
      <w:pPr>
        <w:pStyle w:val="SourceDescription"/>
        <w:rPr>
          <w:lang w:val="ru-RU"/>
        </w:rPr>
      </w:pPr>
      <w:r w:rsidRPr="00DF1530">
        <w:rPr>
          <w:lang w:val="ru-RU"/>
        </w:rPr>
        <w:t>Источник информации: Информация предоставлена Министерством экономического развития и торговли Российской Федерации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99</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0082E" w:rsidRPr="00DF1530">
        <w:rPr>
          <w:lang w:val="ru-RU"/>
        </w:rPr>
        <w:t xml:space="preserve">Одна из причин недостаточного участия </w:t>
      </w:r>
      <w:r w:rsidR="004750CA" w:rsidRPr="00DF1530">
        <w:rPr>
          <w:lang w:val="ru-RU"/>
        </w:rPr>
        <w:t>регион</w:t>
      </w:r>
      <w:r w:rsidR="0050082E" w:rsidRPr="00DF1530">
        <w:rPr>
          <w:lang w:val="ru-RU"/>
        </w:rPr>
        <w:t>ов</w:t>
      </w:r>
      <w:r w:rsidR="008C7A93" w:rsidRPr="00DF1530">
        <w:rPr>
          <w:lang w:val="ru-RU"/>
        </w:rPr>
        <w:t xml:space="preserve"> </w:t>
      </w:r>
      <w:r w:rsidR="0050082E" w:rsidRPr="00DF1530">
        <w:rPr>
          <w:lang w:val="ru-RU"/>
        </w:rPr>
        <w:t>в некоторых со</w:t>
      </w:r>
      <w:r w:rsidR="00CC624E" w:rsidRPr="00DF1530">
        <w:rPr>
          <w:lang w:val="ru-RU"/>
        </w:rPr>
        <w:t xml:space="preserve">вместно </w:t>
      </w:r>
      <w:r w:rsidR="0050082E" w:rsidRPr="00DF1530">
        <w:rPr>
          <w:lang w:val="ru-RU"/>
        </w:rPr>
        <w:t xml:space="preserve">финансируемых </w:t>
      </w:r>
      <w:r w:rsidR="0023536F" w:rsidRPr="00DF1530">
        <w:rPr>
          <w:lang w:val="ru-RU"/>
        </w:rPr>
        <w:t>программ</w:t>
      </w:r>
      <w:r w:rsidR="0050082E" w:rsidRPr="00DF1530">
        <w:rPr>
          <w:lang w:val="ru-RU"/>
        </w:rPr>
        <w:t>ах</w:t>
      </w:r>
      <w:r w:rsidR="008C7A93" w:rsidRPr="00DF1530">
        <w:rPr>
          <w:lang w:val="ru-RU"/>
        </w:rPr>
        <w:t xml:space="preserve"> </w:t>
      </w:r>
      <w:r w:rsidR="0050082E" w:rsidRPr="00DF1530">
        <w:rPr>
          <w:lang w:val="ru-RU"/>
        </w:rPr>
        <w:t xml:space="preserve">состоит в том, что правила участия слишком строгие и не позволяют </w:t>
      </w:r>
      <w:r w:rsidR="004750CA" w:rsidRPr="00DF1530">
        <w:rPr>
          <w:lang w:val="ru-RU"/>
        </w:rPr>
        <w:t>регион</w:t>
      </w:r>
      <w:r w:rsidR="0050082E" w:rsidRPr="00DF1530">
        <w:rPr>
          <w:lang w:val="ru-RU"/>
        </w:rPr>
        <w:t>ам</w:t>
      </w:r>
      <w:r w:rsidR="008C7A93" w:rsidRPr="00DF1530">
        <w:rPr>
          <w:lang w:val="ru-RU"/>
        </w:rPr>
        <w:t xml:space="preserve"> </w:t>
      </w:r>
      <w:r w:rsidR="0050082E" w:rsidRPr="00DF1530">
        <w:rPr>
          <w:lang w:val="ru-RU"/>
        </w:rPr>
        <w:t xml:space="preserve">адаптировать </w:t>
      </w:r>
      <w:r w:rsidR="0023536F" w:rsidRPr="00DF1530">
        <w:rPr>
          <w:lang w:val="ru-RU"/>
        </w:rPr>
        <w:t>программы</w:t>
      </w:r>
      <w:r w:rsidR="008C7A93" w:rsidRPr="00DF1530">
        <w:rPr>
          <w:lang w:val="ru-RU"/>
        </w:rPr>
        <w:t xml:space="preserve"> </w:t>
      </w:r>
      <w:r w:rsidR="0050082E" w:rsidRPr="00DF1530">
        <w:rPr>
          <w:lang w:val="ru-RU"/>
        </w:rPr>
        <w:t>к своим собственным потребностям</w:t>
      </w:r>
      <w:r w:rsidR="008C7A93" w:rsidRPr="00DF1530">
        <w:rPr>
          <w:lang w:val="ru-RU"/>
        </w:rPr>
        <w:t xml:space="preserve">. </w:t>
      </w:r>
    </w:p>
    <w:p w:rsidR="008C7A93" w:rsidRPr="00DF1530" w:rsidRDefault="0050082E" w:rsidP="008C7A93">
      <w:pPr>
        <w:pStyle w:val="31"/>
        <w:rPr>
          <w:lang w:val="ru-RU"/>
        </w:rPr>
      </w:pPr>
      <w:r w:rsidRPr="00DF1530">
        <w:rPr>
          <w:lang w:val="ru-RU"/>
        </w:rPr>
        <w:t xml:space="preserve">Существует надлежащая практика, </w:t>
      </w:r>
      <w:r w:rsidR="00A00F4B" w:rsidRPr="00DF1530">
        <w:rPr>
          <w:lang w:val="ru-RU"/>
        </w:rPr>
        <w:t xml:space="preserve">которую можно взять за основу, </w:t>
      </w:r>
      <w:r w:rsidRPr="00DF1530">
        <w:rPr>
          <w:lang w:val="ru-RU"/>
        </w:rPr>
        <w:t>чтобы разработать программы с учетом местных потребностей</w:t>
      </w:r>
      <w:r w:rsidR="008C7A93" w:rsidRPr="00DF1530">
        <w:rPr>
          <w:lang w:val="ru-RU"/>
        </w:rPr>
        <w:t xml:space="preserve">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100</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A00F4B" w:rsidRPr="00DF1530">
        <w:rPr>
          <w:lang w:val="ru-RU"/>
        </w:rPr>
        <w:t xml:space="preserve">Важно адаптировать политику по </w:t>
      </w:r>
      <w:r w:rsidR="003F5CB4" w:rsidRPr="00DF1530">
        <w:rPr>
          <w:lang w:val="ru-RU"/>
        </w:rPr>
        <w:t>МСП и предпринимательск</w:t>
      </w:r>
      <w:r w:rsidR="00A00F4B" w:rsidRPr="00DF1530">
        <w:rPr>
          <w:lang w:val="ru-RU"/>
        </w:rPr>
        <w:t>ой</w:t>
      </w:r>
      <w:r w:rsidR="003F5CB4" w:rsidRPr="00DF1530">
        <w:rPr>
          <w:lang w:val="ru-RU"/>
        </w:rPr>
        <w:t xml:space="preserve"> деятельност</w:t>
      </w:r>
      <w:r w:rsidR="00A00F4B" w:rsidRPr="00DF1530">
        <w:rPr>
          <w:lang w:val="ru-RU"/>
        </w:rPr>
        <w:t>и,</w:t>
      </w:r>
      <w:r w:rsidR="008C7A93" w:rsidRPr="00DF1530">
        <w:rPr>
          <w:lang w:val="ru-RU"/>
        </w:rPr>
        <w:t xml:space="preserve"> </w:t>
      </w:r>
      <w:r w:rsidR="00A00F4B" w:rsidRPr="00DF1530">
        <w:rPr>
          <w:lang w:val="ru-RU"/>
        </w:rPr>
        <w:t xml:space="preserve">чтобы учесть большие </w:t>
      </w:r>
      <w:r w:rsidR="000855A8" w:rsidRPr="00DF1530">
        <w:rPr>
          <w:lang w:val="ru-RU"/>
        </w:rPr>
        <w:t>отличия</w:t>
      </w:r>
      <w:r w:rsidR="008C7A93" w:rsidRPr="00DF1530">
        <w:rPr>
          <w:lang w:val="ru-RU"/>
        </w:rPr>
        <w:t xml:space="preserve"> </w:t>
      </w:r>
      <w:r w:rsidR="00A00F4B" w:rsidRPr="00DF1530">
        <w:rPr>
          <w:lang w:val="ru-RU"/>
        </w:rPr>
        <w:t xml:space="preserve">в потребностях и </w:t>
      </w:r>
      <w:r w:rsidR="0047268B" w:rsidRPr="00DF1530">
        <w:rPr>
          <w:lang w:val="ru-RU"/>
        </w:rPr>
        <w:t>возможност</w:t>
      </w:r>
      <w:r w:rsidR="00A00F4B" w:rsidRPr="00DF1530">
        <w:rPr>
          <w:lang w:val="ru-RU"/>
        </w:rPr>
        <w:t>ях</w:t>
      </w:r>
      <w:r w:rsidR="008C7A93" w:rsidRPr="00DF1530">
        <w:rPr>
          <w:lang w:val="ru-RU"/>
        </w:rPr>
        <w:t xml:space="preserve"> </w:t>
      </w:r>
      <w:r w:rsidR="00A00F4B" w:rsidRPr="00DF1530">
        <w:rPr>
          <w:lang w:val="ru-RU"/>
        </w:rPr>
        <w:t xml:space="preserve">разных </w:t>
      </w:r>
      <w:r w:rsidR="004750CA" w:rsidRPr="00DF1530">
        <w:rPr>
          <w:lang w:val="ru-RU"/>
        </w:rPr>
        <w:t>регион</w:t>
      </w:r>
      <w:r w:rsidR="00A00F4B" w:rsidRPr="00DF1530">
        <w:rPr>
          <w:lang w:val="ru-RU"/>
        </w:rPr>
        <w:t>ов</w:t>
      </w:r>
      <w:r w:rsidR="008C7A93" w:rsidRPr="00DF1530">
        <w:rPr>
          <w:lang w:val="ru-RU"/>
        </w:rPr>
        <w:t xml:space="preserve"> </w:t>
      </w:r>
      <w:r w:rsidR="00A00F4B" w:rsidRPr="00DF1530">
        <w:rPr>
          <w:lang w:val="ru-RU"/>
        </w:rPr>
        <w:t xml:space="preserve">и </w:t>
      </w:r>
      <w:r w:rsidR="00AD05F1" w:rsidRPr="00DF1530">
        <w:rPr>
          <w:lang w:val="ru-RU"/>
        </w:rPr>
        <w:t>муниципал</w:t>
      </w:r>
      <w:r w:rsidR="00A00F4B" w:rsidRPr="00DF1530">
        <w:rPr>
          <w:lang w:val="ru-RU"/>
        </w:rPr>
        <w:t xml:space="preserve">итетов в </w:t>
      </w:r>
      <w:r w:rsidR="004F360C" w:rsidRPr="00DF1530">
        <w:rPr>
          <w:lang w:val="ru-RU"/>
        </w:rPr>
        <w:t>Российск</w:t>
      </w:r>
      <w:r w:rsidR="00A00F4B" w:rsidRPr="00DF1530">
        <w:rPr>
          <w:lang w:val="ru-RU"/>
        </w:rPr>
        <w:t>ой</w:t>
      </w:r>
      <w:r w:rsidR="005E53F2" w:rsidRPr="00DF1530">
        <w:rPr>
          <w:lang w:val="ru-RU"/>
        </w:rPr>
        <w:t xml:space="preserve"> Федераци</w:t>
      </w:r>
      <w:r w:rsidR="00A00F4B" w:rsidRPr="00DF1530">
        <w:rPr>
          <w:lang w:val="ru-RU"/>
        </w:rPr>
        <w:t>и</w:t>
      </w:r>
      <w:r w:rsidR="008C7A93" w:rsidRPr="00DF1530">
        <w:rPr>
          <w:lang w:val="ru-RU"/>
        </w:rPr>
        <w:t xml:space="preserve">, </w:t>
      </w:r>
      <w:r w:rsidR="00A00F4B" w:rsidRPr="00DF1530">
        <w:rPr>
          <w:lang w:val="ru-RU"/>
        </w:rPr>
        <w:t>и есть много примеров надлежащей практики, которую можно взять за основу</w:t>
      </w:r>
      <w:r w:rsidR="008C7A93" w:rsidRPr="00DF1530">
        <w:rPr>
          <w:lang w:val="ru-RU"/>
        </w:rPr>
        <w:t xml:space="preserve">. </w:t>
      </w:r>
      <w:r w:rsidR="00656EFB" w:rsidRPr="00DF1530">
        <w:rPr>
          <w:lang w:val="ru-RU"/>
        </w:rPr>
        <w:t>Ч</w:t>
      </w:r>
      <w:r w:rsidR="0041250F" w:rsidRPr="00DF1530">
        <w:rPr>
          <w:lang w:val="ru-RU"/>
        </w:rPr>
        <w:t>т</w:t>
      </w:r>
      <w:r w:rsidR="00656EFB" w:rsidRPr="00DF1530">
        <w:rPr>
          <w:lang w:val="ru-RU"/>
        </w:rPr>
        <w:t>о касается доступа к финансированию</w:t>
      </w:r>
      <w:r w:rsidR="008C7A93" w:rsidRPr="00DF1530">
        <w:rPr>
          <w:lang w:val="ru-RU"/>
        </w:rPr>
        <w:t xml:space="preserve">, </w:t>
      </w:r>
      <w:r w:rsidR="00592D7B" w:rsidRPr="00DF1530">
        <w:rPr>
          <w:lang w:val="ru-RU"/>
        </w:rPr>
        <w:t>к примеру</w:t>
      </w:r>
      <w:r w:rsidR="008C7A93" w:rsidRPr="00DF1530">
        <w:rPr>
          <w:lang w:val="ru-RU"/>
        </w:rPr>
        <w:t xml:space="preserve">, </w:t>
      </w:r>
      <w:r w:rsidR="005836E9" w:rsidRPr="00DF1530">
        <w:rPr>
          <w:lang w:val="ru-RU"/>
        </w:rPr>
        <w:t>Внешэкономбанк</w:t>
      </w:r>
      <w:r w:rsidR="008C7A93" w:rsidRPr="00DF1530">
        <w:rPr>
          <w:lang w:val="ru-RU"/>
        </w:rPr>
        <w:t xml:space="preserve">, </w:t>
      </w:r>
      <w:r w:rsidR="00656EFB" w:rsidRPr="00DF1530">
        <w:rPr>
          <w:lang w:val="ru-RU"/>
        </w:rPr>
        <w:t>государственный банк развития</w:t>
      </w:r>
      <w:r w:rsidR="008C7A93" w:rsidRPr="00DF1530">
        <w:rPr>
          <w:lang w:val="ru-RU"/>
        </w:rPr>
        <w:t xml:space="preserve">, </w:t>
      </w:r>
      <w:r w:rsidR="00656EFB" w:rsidRPr="00DF1530">
        <w:rPr>
          <w:lang w:val="ru-RU"/>
        </w:rPr>
        <w:t>работает с не</w:t>
      </w:r>
      <w:r w:rsidR="0073200F" w:rsidRPr="00DF1530">
        <w:rPr>
          <w:lang w:val="ru-RU"/>
        </w:rPr>
        <w:t>финансовы</w:t>
      </w:r>
      <w:r w:rsidR="00656EFB" w:rsidRPr="00DF1530">
        <w:rPr>
          <w:lang w:val="ru-RU"/>
        </w:rPr>
        <w:t>ми</w:t>
      </w:r>
      <w:r w:rsidR="008C7A93" w:rsidRPr="00DF1530">
        <w:rPr>
          <w:lang w:val="ru-RU"/>
        </w:rPr>
        <w:t xml:space="preserve"> </w:t>
      </w:r>
      <w:r w:rsidR="000105F1" w:rsidRPr="00DF1530">
        <w:rPr>
          <w:lang w:val="ru-RU"/>
        </w:rPr>
        <w:t>организаци</w:t>
      </w:r>
      <w:r w:rsidR="00656EFB" w:rsidRPr="00DF1530">
        <w:rPr>
          <w:lang w:val="ru-RU"/>
        </w:rPr>
        <w:t xml:space="preserve">ями, чтобы предложить услуги для </w:t>
      </w:r>
      <w:r w:rsidR="00BA1F08" w:rsidRPr="00DF1530">
        <w:rPr>
          <w:lang w:val="ru-RU"/>
        </w:rPr>
        <w:t>МСП и предпринимател</w:t>
      </w:r>
      <w:r w:rsidR="00656EFB" w:rsidRPr="00DF1530">
        <w:rPr>
          <w:lang w:val="ru-RU"/>
        </w:rPr>
        <w:t>ей</w:t>
      </w:r>
      <w:r w:rsidR="008C7A93" w:rsidRPr="00DF1530">
        <w:rPr>
          <w:lang w:val="ru-RU"/>
        </w:rPr>
        <w:t xml:space="preserve"> </w:t>
      </w:r>
      <w:r w:rsidR="00656EFB" w:rsidRPr="00DF1530">
        <w:rPr>
          <w:lang w:val="ru-RU"/>
        </w:rPr>
        <w:t>в</w:t>
      </w:r>
      <w:r w:rsidR="008C7A93" w:rsidRPr="00DF1530">
        <w:rPr>
          <w:lang w:val="ru-RU"/>
        </w:rPr>
        <w:t xml:space="preserve"> </w:t>
      </w:r>
      <w:r w:rsidR="004750CA" w:rsidRPr="00DF1530">
        <w:rPr>
          <w:lang w:val="ru-RU"/>
        </w:rPr>
        <w:t>регион</w:t>
      </w:r>
      <w:r w:rsidR="00656EFB" w:rsidRPr="00DF1530">
        <w:rPr>
          <w:lang w:val="ru-RU"/>
        </w:rPr>
        <w:t>ах,</w:t>
      </w:r>
      <w:r w:rsidR="008C7A93" w:rsidRPr="00DF1530">
        <w:rPr>
          <w:lang w:val="ru-RU"/>
        </w:rPr>
        <w:t xml:space="preserve"> </w:t>
      </w:r>
      <w:r w:rsidR="00656EFB" w:rsidRPr="00DF1530">
        <w:rPr>
          <w:lang w:val="ru-RU"/>
        </w:rPr>
        <w:t>где охват банковскими услугами ограничен</w:t>
      </w:r>
      <w:r w:rsidR="008C7A93" w:rsidRPr="00DF1530">
        <w:rPr>
          <w:lang w:val="ru-RU"/>
        </w:rPr>
        <w:t xml:space="preserve">. </w:t>
      </w:r>
      <w:r w:rsidR="00612C9D" w:rsidRPr="00DF1530">
        <w:rPr>
          <w:lang w:val="ru-RU"/>
        </w:rPr>
        <w:t xml:space="preserve">Он </w:t>
      </w:r>
      <w:r w:rsidR="00592D7B" w:rsidRPr="00DF1530">
        <w:rPr>
          <w:lang w:val="ru-RU"/>
        </w:rPr>
        <w:t>также</w:t>
      </w:r>
      <w:r w:rsidR="008C7A93" w:rsidRPr="00DF1530">
        <w:rPr>
          <w:lang w:val="ru-RU"/>
        </w:rPr>
        <w:t xml:space="preserve"> </w:t>
      </w:r>
      <w:r w:rsidR="00612C9D" w:rsidRPr="00DF1530">
        <w:rPr>
          <w:lang w:val="ru-RU"/>
        </w:rPr>
        <w:t xml:space="preserve">подписал рамочные соглашения с пятьюдесятью </w:t>
      </w:r>
      <w:r w:rsidR="000855A8" w:rsidRPr="00DF1530">
        <w:rPr>
          <w:lang w:val="ru-RU"/>
        </w:rPr>
        <w:t>региональны</w:t>
      </w:r>
      <w:r w:rsidR="00612C9D" w:rsidRPr="00DF1530">
        <w:rPr>
          <w:lang w:val="ru-RU"/>
        </w:rPr>
        <w:t>ми</w:t>
      </w:r>
      <w:r w:rsidR="008C7A93" w:rsidRPr="00DF1530">
        <w:rPr>
          <w:lang w:val="ru-RU"/>
        </w:rPr>
        <w:t xml:space="preserve"> </w:t>
      </w:r>
      <w:r w:rsidR="00AD05F1" w:rsidRPr="00DF1530">
        <w:rPr>
          <w:lang w:val="ru-RU"/>
        </w:rPr>
        <w:t>правительства</w:t>
      </w:r>
      <w:r w:rsidR="00612C9D" w:rsidRPr="00DF1530">
        <w:rPr>
          <w:lang w:val="ru-RU"/>
        </w:rPr>
        <w:t>ми</w:t>
      </w:r>
      <w:r w:rsidR="008C7A93" w:rsidRPr="00DF1530">
        <w:rPr>
          <w:lang w:val="ru-RU"/>
        </w:rPr>
        <w:t xml:space="preserve"> </w:t>
      </w:r>
      <w:r w:rsidR="00612C9D" w:rsidRPr="00DF1530">
        <w:rPr>
          <w:lang w:val="ru-RU"/>
        </w:rPr>
        <w:t xml:space="preserve">для определения </w:t>
      </w:r>
      <w:r w:rsidR="00E57A1C" w:rsidRPr="00DF1530">
        <w:rPr>
          <w:lang w:val="ru-RU"/>
        </w:rPr>
        <w:t>соответствующи</w:t>
      </w:r>
      <w:r w:rsidR="00612C9D" w:rsidRPr="00DF1530">
        <w:rPr>
          <w:lang w:val="ru-RU"/>
        </w:rPr>
        <w:t>х</w:t>
      </w:r>
      <w:r w:rsidR="008C7A93" w:rsidRPr="00DF1530">
        <w:rPr>
          <w:lang w:val="ru-RU"/>
        </w:rPr>
        <w:t xml:space="preserve"> </w:t>
      </w:r>
      <w:r w:rsidR="00612C9D" w:rsidRPr="00DF1530">
        <w:rPr>
          <w:lang w:val="ru-RU"/>
        </w:rPr>
        <w:t xml:space="preserve">проектов по </w:t>
      </w:r>
      <w:r w:rsidR="004A7BFD" w:rsidRPr="00DF1530">
        <w:rPr>
          <w:lang w:val="ru-RU"/>
        </w:rPr>
        <w:t>финансировани</w:t>
      </w:r>
      <w:r w:rsidR="00612C9D" w:rsidRPr="00DF1530">
        <w:rPr>
          <w:lang w:val="ru-RU"/>
        </w:rPr>
        <w:t>ю</w:t>
      </w:r>
      <w:r w:rsidR="008C7A93" w:rsidRPr="00DF1530">
        <w:rPr>
          <w:lang w:val="ru-RU"/>
        </w:rPr>
        <w:t xml:space="preserve"> </w:t>
      </w:r>
      <w:r w:rsidR="00612C9D" w:rsidRPr="00DF1530">
        <w:rPr>
          <w:lang w:val="ru-RU"/>
        </w:rPr>
        <w:t xml:space="preserve">и партнеров по </w:t>
      </w:r>
      <w:r w:rsidR="004750CA" w:rsidRPr="00DF1530">
        <w:rPr>
          <w:lang w:val="ru-RU"/>
        </w:rPr>
        <w:t>регион</w:t>
      </w:r>
      <w:r w:rsidR="00612C9D" w:rsidRPr="00DF1530">
        <w:rPr>
          <w:lang w:val="ru-RU"/>
        </w:rPr>
        <w:t>ам</w:t>
      </w:r>
      <w:r w:rsidR="008C7A93" w:rsidRPr="00DF1530">
        <w:rPr>
          <w:lang w:val="ru-RU"/>
        </w:rPr>
        <w:t xml:space="preserve">. </w:t>
      </w:r>
      <w:r w:rsidR="00612C9D" w:rsidRPr="00DF1530">
        <w:rPr>
          <w:lang w:val="ru-RU"/>
        </w:rPr>
        <w:t xml:space="preserve">В области </w:t>
      </w:r>
      <w:r w:rsidR="00E57A1C" w:rsidRPr="00DF1530">
        <w:rPr>
          <w:lang w:val="ru-RU"/>
        </w:rPr>
        <w:t>поддержк</w:t>
      </w:r>
      <w:r w:rsidR="00612C9D" w:rsidRPr="00DF1530">
        <w:rPr>
          <w:lang w:val="ru-RU"/>
        </w:rPr>
        <w:t>и инноваций</w:t>
      </w:r>
      <w:r w:rsidR="008C7A93" w:rsidRPr="00DF1530">
        <w:rPr>
          <w:lang w:val="ru-RU"/>
        </w:rPr>
        <w:t xml:space="preserve"> </w:t>
      </w:r>
      <w:r w:rsidR="00612C9D" w:rsidRPr="00DF1530">
        <w:rPr>
          <w:lang w:val="ru-RU"/>
        </w:rPr>
        <w:t xml:space="preserve">в некоторых </w:t>
      </w:r>
      <w:r w:rsidR="004750CA" w:rsidRPr="00DF1530">
        <w:rPr>
          <w:lang w:val="ru-RU"/>
        </w:rPr>
        <w:t>регион</w:t>
      </w:r>
      <w:r w:rsidR="00612C9D" w:rsidRPr="00DF1530">
        <w:rPr>
          <w:lang w:val="ru-RU"/>
        </w:rPr>
        <w:t>ах</w:t>
      </w:r>
      <w:r w:rsidR="008C7A93" w:rsidRPr="00DF1530">
        <w:rPr>
          <w:lang w:val="ru-RU"/>
        </w:rPr>
        <w:t xml:space="preserve"> </w:t>
      </w:r>
      <w:r w:rsidR="00612C9D" w:rsidRPr="00DF1530">
        <w:rPr>
          <w:lang w:val="ru-RU"/>
        </w:rPr>
        <w:t xml:space="preserve">привлекают частные </w:t>
      </w:r>
      <w:r w:rsidR="00297F6F" w:rsidRPr="00DF1530">
        <w:rPr>
          <w:lang w:val="ru-RU"/>
        </w:rPr>
        <w:t>предприятия</w:t>
      </w:r>
      <w:r w:rsidR="008C7A93" w:rsidRPr="00DF1530">
        <w:rPr>
          <w:lang w:val="ru-RU"/>
        </w:rPr>
        <w:t xml:space="preserve"> </w:t>
      </w:r>
      <w:r w:rsidR="00612C9D" w:rsidRPr="00DF1530">
        <w:rPr>
          <w:lang w:val="ru-RU"/>
        </w:rPr>
        <w:t xml:space="preserve">к созданию </w:t>
      </w:r>
      <w:r w:rsidR="00E846EC" w:rsidRPr="00DF1530">
        <w:rPr>
          <w:lang w:val="ru-RU"/>
        </w:rPr>
        <w:t>бизнес-инкубатор</w:t>
      </w:r>
      <w:r w:rsidR="00612C9D" w:rsidRPr="00DF1530">
        <w:rPr>
          <w:lang w:val="ru-RU"/>
        </w:rPr>
        <w:t>ов</w:t>
      </w:r>
      <w:r w:rsidR="008C7A93" w:rsidRPr="00DF1530">
        <w:rPr>
          <w:lang w:val="ru-RU"/>
        </w:rPr>
        <w:t xml:space="preserve"> </w:t>
      </w:r>
      <w:r w:rsidR="00612C9D" w:rsidRPr="00DF1530">
        <w:rPr>
          <w:lang w:val="ru-RU"/>
        </w:rPr>
        <w:t xml:space="preserve">и опытных </w:t>
      </w:r>
      <w:r w:rsidR="00B32F4A" w:rsidRPr="00DF1530">
        <w:rPr>
          <w:lang w:val="ru-RU"/>
        </w:rPr>
        <w:t>центр</w:t>
      </w:r>
      <w:r w:rsidR="00612C9D" w:rsidRPr="00DF1530">
        <w:rPr>
          <w:lang w:val="ru-RU"/>
        </w:rPr>
        <w:t>ов,</w:t>
      </w:r>
      <w:r w:rsidR="008C7A93" w:rsidRPr="00DF1530">
        <w:rPr>
          <w:lang w:val="ru-RU"/>
        </w:rPr>
        <w:t xml:space="preserve"> </w:t>
      </w:r>
      <w:r w:rsidR="00612C9D" w:rsidRPr="00DF1530">
        <w:rPr>
          <w:lang w:val="ru-RU"/>
        </w:rPr>
        <w:t xml:space="preserve">чтобы обеспечить соответствие их услуг потребностям местных </w:t>
      </w:r>
      <w:r w:rsidR="00834072" w:rsidRPr="00DF1530">
        <w:rPr>
          <w:lang w:val="ru-RU"/>
        </w:rPr>
        <w:t>предприяти</w:t>
      </w:r>
      <w:r w:rsidR="00612C9D" w:rsidRPr="00DF1530">
        <w:rPr>
          <w:lang w:val="ru-RU"/>
        </w:rPr>
        <w:t>й</w:t>
      </w:r>
      <w:r w:rsidR="008C7A93" w:rsidRPr="00DF1530">
        <w:rPr>
          <w:lang w:val="ru-RU"/>
        </w:rPr>
        <w:t xml:space="preserve">. </w:t>
      </w:r>
      <w:r w:rsidR="00612C9D" w:rsidRPr="00DF1530">
        <w:rPr>
          <w:lang w:val="ru-RU"/>
        </w:rPr>
        <w:t>Аналогичным образом</w:t>
      </w:r>
      <w:r w:rsidR="008C7A93" w:rsidRPr="00DF1530">
        <w:rPr>
          <w:lang w:val="ru-RU"/>
        </w:rPr>
        <w:t xml:space="preserve">, </w:t>
      </w:r>
      <w:r w:rsidR="00612C9D" w:rsidRPr="00DF1530">
        <w:rPr>
          <w:lang w:val="ru-RU"/>
        </w:rPr>
        <w:t xml:space="preserve">некоторые </w:t>
      </w:r>
      <w:r w:rsidR="000855A8" w:rsidRPr="00DF1530">
        <w:rPr>
          <w:lang w:val="ru-RU"/>
        </w:rPr>
        <w:t>региональные</w:t>
      </w:r>
      <w:r w:rsidR="008C7A93" w:rsidRPr="00DF1530">
        <w:rPr>
          <w:lang w:val="ru-RU"/>
        </w:rPr>
        <w:t xml:space="preserve"> </w:t>
      </w:r>
      <w:r w:rsidR="00AD05F1" w:rsidRPr="00DF1530">
        <w:rPr>
          <w:lang w:val="ru-RU"/>
        </w:rPr>
        <w:t>правительства</w:t>
      </w:r>
      <w:r w:rsidR="008C7A93" w:rsidRPr="00DF1530">
        <w:rPr>
          <w:lang w:val="ru-RU"/>
        </w:rPr>
        <w:t xml:space="preserve"> </w:t>
      </w:r>
      <w:r w:rsidR="00612C9D" w:rsidRPr="00DF1530">
        <w:rPr>
          <w:lang w:val="ru-RU"/>
        </w:rPr>
        <w:t xml:space="preserve">приступили к реализации </w:t>
      </w:r>
      <w:r w:rsidR="0023536F" w:rsidRPr="00DF1530">
        <w:rPr>
          <w:lang w:val="ru-RU"/>
        </w:rPr>
        <w:t>программ</w:t>
      </w:r>
      <w:r w:rsidR="00612C9D" w:rsidRPr="00DF1530">
        <w:rPr>
          <w:lang w:val="ru-RU"/>
        </w:rPr>
        <w:t xml:space="preserve"> повышения квалификации</w:t>
      </w:r>
      <w:r w:rsidR="008C7A93" w:rsidRPr="00DF1530">
        <w:rPr>
          <w:lang w:val="ru-RU"/>
        </w:rPr>
        <w:t xml:space="preserve"> </w:t>
      </w:r>
      <w:r w:rsidR="00612C9D" w:rsidRPr="00DF1530">
        <w:rPr>
          <w:lang w:val="ru-RU"/>
        </w:rPr>
        <w:t xml:space="preserve">для работников </w:t>
      </w:r>
      <w:r w:rsidR="00834072" w:rsidRPr="00DF1530">
        <w:rPr>
          <w:lang w:val="ru-RU"/>
        </w:rPr>
        <w:t>МСП</w:t>
      </w:r>
      <w:r w:rsidR="00612C9D" w:rsidRPr="00DF1530">
        <w:rPr>
          <w:lang w:val="ru-RU"/>
        </w:rPr>
        <w:t xml:space="preserve"> вместе с региональными отраслевыми советами</w:t>
      </w:r>
      <w:r w:rsidR="008C7A93" w:rsidRPr="00DF1530">
        <w:rPr>
          <w:lang w:val="ru-RU"/>
        </w:rPr>
        <w:t xml:space="preserve">. </w:t>
      </w:r>
      <w:r w:rsidR="00EB1372" w:rsidRPr="00DF1530">
        <w:rPr>
          <w:lang w:val="ru-RU"/>
        </w:rPr>
        <w:t>Федеральн</w:t>
      </w:r>
      <w:r w:rsidR="00612C9D" w:rsidRPr="00DF1530">
        <w:rPr>
          <w:lang w:val="ru-RU"/>
        </w:rPr>
        <w:t>ое</w:t>
      </w:r>
      <w:r w:rsidR="008C7A93" w:rsidRPr="00DF1530">
        <w:rPr>
          <w:lang w:val="ru-RU"/>
        </w:rPr>
        <w:t xml:space="preserve"> </w:t>
      </w:r>
      <w:r w:rsidR="00CD71D1" w:rsidRPr="00DF1530">
        <w:rPr>
          <w:lang w:val="ru-RU"/>
        </w:rPr>
        <w:t>правительство</w:t>
      </w:r>
      <w:r w:rsidR="008C7A93" w:rsidRPr="00DF1530">
        <w:rPr>
          <w:lang w:val="ru-RU"/>
        </w:rPr>
        <w:t xml:space="preserve"> </w:t>
      </w:r>
      <w:r w:rsidR="00592D7B" w:rsidRPr="00DF1530">
        <w:rPr>
          <w:lang w:val="ru-RU"/>
        </w:rPr>
        <w:t>также</w:t>
      </w:r>
      <w:r w:rsidR="008C7A93" w:rsidRPr="00DF1530">
        <w:rPr>
          <w:lang w:val="ru-RU"/>
        </w:rPr>
        <w:t xml:space="preserve"> </w:t>
      </w:r>
      <w:r w:rsidR="00612C9D" w:rsidRPr="00DF1530">
        <w:rPr>
          <w:lang w:val="ru-RU"/>
        </w:rPr>
        <w:t xml:space="preserve">разрабатывает программу инновационных кластеров вместе с </w:t>
      </w:r>
      <w:r w:rsidR="004750CA" w:rsidRPr="00DF1530">
        <w:rPr>
          <w:lang w:val="ru-RU"/>
        </w:rPr>
        <w:t>регион</w:t>
      </w:r>
      <w:r w:rsidR="00612C9D" w:rsidRPr="00DF1530">
        <w:rPr>
          <w:lang w:val="ru-RU"/>
        </w:rPr>
        <w:t>ами,</w:t>
      </w:r>
      <w:r w:rsidR="008C7A93" w:rsidRPr="00DF1530">
        <w:rPr>
          <w:lang w:val="ru-RU"/>
        </w:rPr>
        <w:t xml:space="preserve"> </w:t>
      </w:r>
      <w:r w:rsidR="00612C9D" w:rsidRPr="00DF1530">
        <w:rPr>
          <w:lang w:val="ru-RU"/>
        </w:rPr>
        <w:t xml:space="preserve">и некоторые </w:t>
      </w:r>
      <w:r w:rsidR="000855A8" w:rsidRPr="00DF1530">
        <w:rPr>
          <w:lang w:val="ru-RU"/>
        </w:rPr>
        <w:t>региональные</w:t>
      </w:r>
      <w:r w:rsidR="008C7A93" w:rsidRPr="00DF1530">
        <w:rPr>
          <w:lang w:val="ru-RU"/>
        </w:rPr>
        <w:t xml:space="preserve"> </w:t>
      </w:r>
      <w:r w:rsidR="00AD05F1" w:rsidRPr="00DF1530">
        <w:rPr>
          <w:lang w:val="ru-RU"/>
        </w:rPr>
        <w:t>правительства</w:t>
      </w:r>
      <w:r w:rsidR="008C7A93" w:rsidRPr="00DF1530">
        <w:rPr>
          <w:lang w:val="ru-RU"/>
        </w:rPr>
        <w:t xml:space="preserve"> </w:t>
      </w:r>
      <w:r w:rsidR="00612C9D" w:rsidRPr="00DF1530">
        <w:rPr>
          <w:lang w:val="ru-RU"/>
        </w:rPr>
        <w:t>создают кластеры вокруг ключевых «якорных</w:t>
      </w:r>
      <w:r w:rsidR="00E3075C" w:rsidRPr="00DF1530">
        <w:rPr>
          <w:lang w:val="ru-RU"/>
        </w:rPr>
        <w:t xml:space="preserve"> фирм</w:t>
      </w:r>
      <w:r w:rsidR="00612C9D" w:rsidRPr="00DF1530">
        <w:rPr>
          <w:lang w:val="ru-RU"/>
        </w:rPr>
        <w:t xml:space="preserve">» </w:t>
      </w:r>
      <w:r w:rsidR="008C7A93" w:rsidRPr="00DF1530">
        <w:rPr>
          <w:lang w:val="ru-RU"/>
        </w:rPr>
        <w:t xml:space="preserve">FDI. </w:t>
      </w:r>
      <w:r w:rsidR="00612C9D" w:rsidRPr="00DF1530">
        <w:rPr>
          <w:lang w:val="ru-RU"/>
        </w:rPr>
        <w:t>На региональном уровне должны быть приняты дополнительные местные инициативы, подобные вышеуказанным</w:t>
      </w:r>
      <w:r w:rsidR="008C7A93" w:rsidRPr="00DF1530">
        <w:rPr>
          <w:lang w:val="ru-RU"/>
        </w:rPr>
        <w:t xml:space="preserve">. </w:t>
      </w:r>
      <w:r w:rsidR="00612C9D" w:rsidRPr="00DF1530">
        <w:rPr>
          <w:lang w:val="ru-RU"/>
        </w:rPr>
        <w:t xml:space="preserve">Требуют </w:t>
      </w:r>
      <w:r w:rsidR="00592D7B" w:rsidRPr="00DF1530">
        <w:rPr>
          <w:lang w:val="ru-RU"/>
        </w:rPr>
        <w:t>также</w:t>
      </w:r>
      <w:r w:rsidR="008C7A93" w:rsidRPr="00DF1530">
        <w:rPr>
          <w:lang w:val="ru-RU"/>
        </w:rPr>
        <w:t xml:space="preserve"> </w:t>
      </w:r>
      <w:r w:rsidR="00612C9D" w:rsidRPr="00DF1530">
        <w:rPr>
          <w:lang w:val="ru-RU"/>
        </w:rPr>
        <w:t xml:space="preserve">большего внимания местные меры по поддержке инновационных </w:t>
      </w:r>
      <w:r w:rsidR="00834072" w:rsidRPr="00DF1530">
        <w:rPr>
          <w:lang w:val="ru-RU"/>
        </w:rPr>
        <w:t>предприяти</w:t>
      </w:r>
      <w:r w:rsidR="00612C9D" w:rsidRPr="00DF1530">
        <w:rPr>
          <w:lang w:val="ru-RU"/>
        </w:rPr>
        <w:t>й</w:t>
      </w:r>
      <w:r w:rsidR="008C7A93" w:rsidRPr="00DF1530">
        <w:rPr>
          <w:lang w:val="ru-RU"/>
        </w:rPr>
        <w:t xml:space="preserve"> (</w:t>
      </w:r>
      <w:r w:rsidR="00612C9D" w:rsidRPr="00DF1530">
        <w:rPr>
          <w:lang w:val="ru-RU"/>
        </w:rPr>
        <w:t xml:space="preserve">как в технологической, так и в нетехнологической сфере </w:t>
      </w:r>
      <w:r w:rsidR="00297F6F" w:rsidRPr="00DF1530">
        <w:rPr>
          <w:lang w:val="ru-RU"/>
        </w:rPr>
        <w:t>деятельност</w:t>
      </w:r>
      <w:r w:rsidR="00612C9D" w:rsidRPr="00DF1530">
        <w:rPr>
          <w:lang w:val="ru-RU"/>
        </w:rPr>
        <w:t>и</w:t>
      </w:r>
      <w:r w:rsidR="008C7A93" w:rsidRPr="00DF1530">
        <w:rPr>
          <w:lang w:val="ru-RU"/>
        </w:rPr>
        <w:t>)</w:t>
      </w:r>
      <w:r w:rsidR="00612C9D" w:rsidRPr="00DF1530">
        <w:rPr>
          <w:lang w:val="ru-RU"/>
        </w:rPr>
        <w:t>,</w:t>
      </w:r>
      <w:r w:rsidR="008C7A93" w:rsidRPr="00DF1530">
        <w:rPr>
          <w:lang w:val="ru-RU"/>
        </w:rPr>
        <w:t xml:space="preserve"> </w:t>
      </w:r>
      <w:r w:rsidR="00612C9D" w:rsidRPr="00DF1530">
        <w:rPr>
          <w:lang w:val="ru-RU"/>
        </w:rPr>
        <w:t>развитие предпринимательских навыков и формирование представления</w:t>
      </w:r>
      <w:r w:rsidR="008C7A93" w:rsidRPr="00DF1530">
        <w:rPr>
          <w:lang w:val="ru-RU"/>
        </w:rPr>
        <w:t xml:space="preserve">. </w:t>
      </w:r>
    </w:p>
    <w:p w:rsidR="008C7A93" w:rsidRPr="00DF1530" w:rsidRDefault="00612C9D" w:rsidP="008C7A93">
      <w:pPr>
        <w:pStyle w:val="31"/>
        <w:rPr>
          <w:lang w:val="ru-RU"/>
        </w:rPr>
      </w:pPr>
      <w:r w:rsidRPr="00DF1530">
        <w:rPr>
          <w:lang w:val="ru-RU"/>
        </w:rPr>
        <w:t xml:space="preserve">Необходимость улучшения </w:t>
      </w:r>
      <w:r w:rsidR="000855A8" w:rsidRPr="00DF1530">
        <w:rPr>
          <w:lang w:val="ru-RU"/>
        </w:rPr>
        <w:t>региональн</w:t>
      </w:r>
      <w:r w:rsidRPr="00DF1530">
        <w:rPr>
          <w:lang w:val="ru-RU"/>
        </w:rPr>
        <w:t>ого процесса разработки стратегии</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101</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160378" w:rsidRPr="00DF1530">
        <w:rPr>
          <w:lang w:val="ru-RU"/>
        </w:rPr>
        <w:t xml:space="preserve">Хотя </w:t>
      </w:r>
      <w:r w:rsidR="0032434C" w:rsidRPr="00DF1530">
        <w:rPr>
          <w:lang w:val="ru-RU"/>
        </w:rPr>
        <w:t>Ф</w:t>
      </w:r>
      <w:r w:rsidR="00EB1372" w:rsidRPr="00DF1530">
        <w:rPr>
          <w:lang w:val="ru-RU"/>
        </w:rPr>
        <w:t>едеральный</w:t>
      </w:r>
      <w:r w:rsidR="008C7A93" w:rsidRPr="00DF1530">
        <w:rPr>
          <w:lang w:val="ru-RU"/>
        </w:rPr>
        <w:t xml:space="preserve"> </w:t>
      </w:r>
      <w:r w:rsidR="0032434C" w:rsidRPr="00DF1530">
        <w:rPr>
          <w:lang w:val="ru-RU"/>
        </w:rPr>
        <w:t>з</w:t>
      </w:r>
      <w:r w:rsidR="00EB1372" w:rsidRPr="00DF1530">
        <w:rPr>
          <w:lang w:val="ru-RU"/>
        </w:rPr>
        <w:t xml:space="preserve">акон </w:t>
      </w:r>
      <w:r w:rsidR="0032434C" w:rsidRPr="00DF1530">
        <w:rPr>
          <w:lang w:val="ru-RU"/>
        </w:rPr>
        <w:t xml:space="preserve">«О развитии малого и среднего предпринимательства в Российской Федерации» от 2007 года </w:t>
      </w:r>
      <w:r w:rsidR="00160378" w:rsidRPr="00DF1530">
        <w:rPr>
          <w:lang w:val="ru-RU"/>
        </w:rPr>
        <w:t>предусматривает разработку стратегий экономического развития в каждом регионе на основе консультаций с заинтересованными сторонами</w:t>
      </w:r>
      <w:r w:rsidR="008C7A93" w:rsidRPr="00DF1530">
        <w:rPr>
          <w:lang w:val="ru-RU"/>
        </w:rPr>
        <w:t xml:space="preserve">, </w:t>
      </w:r>
      <w:r w:rsidR="00160378" w:rsidRPr="00DF1530">
        <w:rPr>
          <w:lang w:val="ru-RU"/>
        </w:rPr>
        <w:t xml:space="preserve">этот </w:t>
      </w:r>
      <w:r w:rsidR="00EB1372" w:rsidRPr="00DF1530">
        <w:rPr>
          <w:lang w:val="ru-RU"/>
        </w:rPr>
        <w:t>механизм</w:t>
      </w:r>
      <w:r w:rsidR="008C7A93" w:rsidRPr="00DF1530">
        <w:rPr>
          <w:lang w:val="ru-RU"/>
        </w:rPr>
        <w:t xml:space="preserve"> </w:t>
      </w:r>
      <w:r w:rsidR="00160378" w:rsidRPr="00DF1530">
        <w:rPr>
          <w:lang w:val="ru-RU"/>
        </w:rPr>
        <w:t>еще не используется в полном объ</w:t>
      </w:r>
      <w:r w:rsidR="00BD465D" w:rsidRPr="00DF1530">
        <w:rPr>
          <w:lang w:val="ru-RU"/>
        </w:rPr>
        <w:t>е</w:t>
      </w:r>
      <w:r w:rsidR="00160378" w:rsidRPr="00DF1530">
        <w:rPr>
          <w:lang w:val="ru-RU"/>
        </w:rPr>
        <w:t xml:space="preserve">ме в качестве основы для соответствующего изменения политики по </w:t>
      </w:r>
      <w:r w:rsidR="003F5CB4" w:rsidRPr="00DF1530">
        <w:rPr>
          <w:lang w:val="ru-RU"/>
        </w:rPr>
        <w:t>МСП и предпринимательск</w:t>
      </w:r>
      <w:r w:rsidR="00160378" w:rsidRPr="00DF1530">
        <w:rPr>
          <w:lang w:val="ru-RU"/>
        </w:rPr>
        <w:t>ой</w:t>
      </w:r>
      <w:r w:rsidR="003F5CB4" w:rsidRPr="00DF1530">
        <w:rPr>
          <w:lang w:val="ru-RU"/>
        </w:rPr>
        <w:t xml:space="preserve"> деятельност</w:t>
      </w:r>
      <w:r w:rsidR="00160378" w:rsidRPr="00DF1530">
        <w:rPr>
          <w:lang w:val="ru-RU"/>
        </w:rPr>
        <w:t>и</w:t>
      </w:r>
      <w:r w:rsidR="008C7A93" w:rsidRPr="00DF1530">
        <w:rPr>
          <w:lang w:val="ru-RU"/>
        </w:rPr>
        <w:t xml:space="preserve"> </w:t>
      </w:r>
      <w:r w:rsidR="00160378" w:rsidRPr="00DF1530">
        <w:rPr>
          <w:lang w:val="ru-RU"/>
        </w:rPr>
        <w:t>на местном уровне</w:t>
      </w:r>
      <w:r w:rsidR="008C7A93" w:rsidRPr="00DF1530">
        <w:rPr>
          <w:lang w:val="ru-RU"/>
        </w:rPr>
        <w:t xml:space="preserve">, </w:t>
      </w:r>
      <w:r w:rsidR="00160378" w:rsidRPr="00DF1530">
        <w:rPr>
          <w:lang w:val="ru-RU"/>
        </w:rPr>
        <w:t xml:space="preserve">которая сосредоточена на преодолении наиболее важных проблем в развитии </w:t>
      </w:r>
      <w:r w:rsidR="003F5CB4" w:rsidRPr="00DF1530">
        <w:rPr>
          <w:lang w:val="ru-RU"/>
        </w:rPr>
        <w:t>МСП и предпринимательск</w:t>
      </w:r>
      <w:r w:rsidR="00160378" w:rsidRPr="00DF1530">
        <w:rPr>
          <w:lang w:val="ru-RU"/>
        </w:rPr>
        <w:t>ой</w:t>
      </w:r>
      <w:r w:rsidR="003F5CB4" w:rsidRPr="00DF1530">
        <w:rPr>
          <w:lang w:val="ru-RU"/>
        </w:rPr>
        <w:t xml:space="preserve"> деятельност</w:t>
      </w:r>
      <w:r w:rsidR="00160378" w:rsidRPr="00DF1530">
        <w:rPr>
          <w:lang w:val="ru-RU"/>
        </w:rPr>
        <w:t>и</w:t>
      </w:r>
      <w:r w:rsidR="008C7A93" w:rsidRPr="00DF1530">
        <w:rPr>
          <w:lang w:val="ru-RU"/>
        </w:rPr>
        <w:t xml:space="preserve"> </w:t>
      </w:r>
      <w:r w:rsidR="00160378" w:rsidRPr="00DF1530">
        <w:rPr>
          <w:lang w:val="ru-RU"/>
        </w:rPr>
        <w:t>в данном регионе</w:t>
      </w:r>
      <w:r w:rsidR="008C7A93" w:rsidRPr="00DF1530">
        <w:rPr>
          <w:lang w:val="ru-RU"/>
        </w:rPr>
        <w:t xml:space="preserve">. </w:t>
      </w:r>
      <w:r w:rsidR="00AC7A8F" w:rsidRPr="00DF1530">
        <w:rPr>
          <w:lang w:val="ru-RU"/>
        </w:rPr>
        <w:t>С одной стороны</w:t>
      </w:r>
      <w:r w:rsidR="008C7A93" w:rsidRPr="00DF1530">
        <w:rPr>
          <w:lang w:val="ru-RU"/>
        </w:rPr>
        <w:t xml:space="preserve">, </w:t>
      </w:r>
      <w:r w:rsidR="00157CE7" w:rsidRPr="00DF1530">
        <w:rPr>
          <w:lang w:val="ru-RU"/>
        </w:rPr>
        <w:t xml:space="preserve">некоторые из </w:t>
      </w:r>
      <w:r w:rsidR="00157CE7" w:rsidRPr="00DF1530">
        <w:rPr>
          <w:lang w:val="ru-RU"/>
        </w:rPr>
        <w:lastRenderedPageBreak/>
        <w:t xml:space="preserve">экономически наиболее развитых </w:t>
      </w:r>
      <w:r w:rsidR="004750CA" w:rsidRPr="00DF1530">
        <w:rPr>
          <w:lang w:val="ru-RU"/>
        </w:rPr>
        <w:t>регион</w:t>
      </w:r>
      <w:r w:rsidR="00157CE7" w:rsidRPr="00DF1530">
        <w:rPr>
          <w:lang w:val="ru-RU"/>
        </w:rPr>
        <w:t>ов</w:t>
      </w:r>
      <w:r w:rsidR="008C7A93" w:rsidRPr="00DF1530">
        <w:rPr>
          <w:lang w:val="ru-RU"/>
        </w:rPr>
        <w:t xml:space="preserve">, </w:t>
      </w:r>
      <w:r w:rsidR="00157CE7" w:rsidRPr="00DF1530">
        <w:rPr>
          <w:lang w:val="ru-RU"/>
        </w:rPr>
        <w:t>такие, как Калуга и Новосибирск</w:t>
      </w:r>
      <w:r w:rsidR="008C7A93" w:rsidRPr="00DF1530">
        <w:rPr>
          <w:lang w:val="ru-RU"/>
        </w:rPr>
        <w:t xml:space="preserve">, </w:t>
      </w:r>
      <w:r w:rsidR="00157CE7" w:rsidRPr="00DF1530">
        <w:rPr>
          <w:lang w:val="ru-RU"/>
        </w:rPr>
        <w:t>разработали основательные стратегии специально для своего региона</w:t>
      </w:r>
      <w:r w:rsidR="008C7A93" w:rsidRPr="00DF1530">
        <w:rPr>
          <w:lang w:val="ru-RU"/>
        </w:rPr>
        <w:t xml:space="preserve">. </w:t>
      </w:r>
      <w:r w:rsidR="00F736B7" w:rsidRPr="00DF1530">
        <w:rPr>
          <w:lang w:val="ru-RU"/>
        </w:rPr>
        <w:t>С другой стороны</w:t>
      </w:r>
      <w:r w:rsidR="008C7A93" w:rsidRPr="00DF1530">
        <w:rPr>
          <w:lang w:val="ru-RU"/>
        </w:rPr>
        <w:t xml:space="preserve">, </w:t>
      </w:r>
      <w:r w:rsidR="00157CE7" w:rsidRPr="00DF1530">
        <w:rPr>
          <w:lang w:val="ru-RU"/>
        </w:rPr>
        <w:t xml:space="preserve">многие из </w:t>
      </w:r>
      <w:r w:rsidR="004750CA" w:rsidRPr="00DF1530">
        <w:rPr>
          <w:lang w:val="ru-RU"/>
        </w:rPr>
        <w:t>регион</w:t>
      </w:r>
      <w:r w:rsidR="00157CE7" w:rsidRPr="00DF1530">
        <w:rPr>
          <w:lang w:val="ru-RU"/>
        </w:rPr>
        <w:t>ов</w:t>
      </w:r>
      <w:r w:rsidR="008C7A93" w:rsidRPr="00DF1530">
        <w:rPr>
          <w:lang w:val="ru-RU"/>
        </w:rPr>
        <w:t xml:space="preserve"> </w:t>
      </w:r>
      <w:r w:rsidR="00157CE7" w:rsidRPr="00DF1530">
        <w:rPr>
          <w:lang w:val="ru-RU"/>
        </w:rPr>
        <w:t xml:space="preserve">с самыми низкими темпами развития </w:t>
      </w:r>
      <w:r w:rsidR="003F5CB4" w:rsidRPr="00DF1530">
        <w:rPr>
          <w:lang w:val="ru-RU"/>
        </w:rPr>
        <w:t>МСП и предпринимательск</w:t>
      </w:r>
      <w:r w:rsidR="00157CE7" w:rsidRPr="00DF1530">
        <w:rPr>
          <w:lang w:val="ru-RU"/>
        </w:rPr>
        <w:t>ой</w:t>
      </w:r>
      <w:r w:rsidR="003F5CB4" w:rsidRPr="00DF1530">
        <w:rPr>
          <w:lang w:val="ru-RU"/>
        </w:rPr>
        <w:t xml:space="preserve"> деятельност</w:t>
      </w:r>
      <w:r w:rsidR="00157CE7" w:rsidRPr="00DF1530">
        <w:rPr>
          <w:lang w:val="ru-RU"/>
        </w:rPr>
        <w:t>и</w:t>
      </w:r>
      <w:r w:rsidR="008C7A93" w:rsidRPr="00DF1530">
        <w:rPr>
          <w:lang w:val="ru-RU"/>
        </w:rPr>
        <w:t xml:space="preserve"> </w:t>
      </w:r>
      <w:r w:rsidR="00157CE7" w:rsidRPr="00DF1530">
        <w:rPr>
          <w:lang w:val="ru-RU"/>
        </w:rPr>
        <w:t xml:space="preserve">не имеют положительно выраженной стратегии по мерам в области </w:t>
      </w:r>
      <w:r w:rsidR="00EB1372" w:rsidRPr="00DF1530">
        <w:rPr>
          <w:lang w:val="ru-RU"/>
        </w:rPr>
        <w:t>политик</w:t>
      </w:r>
      <w:r w:rsidR="00157CE7"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r w:rsidR="00157CE7" w:rsidRPr="00DF1530">
        <w:rPr>
          <w:lang w:val="ru-RU"/>
        </w:rPr>
        <w:t xml:space="preserve">При более низком </w:t>
      </w:r>
      <w:r w:rsidR="00AD05F1" w:rsidRPr="00DF1530">
        <w:rPr>
          <w:lang w:val="ru-RU"/>
        </w:rPr>
        <w:t>уровн</w:t>
      </w:r>
      <w:r w:rsidR="00157CE7" w:rsidRPr="00DF1530">
        <w:rPr>
          <w:lang w:val="ru-RU"/>
        </w:rPr>
        <w:t>е</w:t>
      </w:r>
      <w:r w:rsidR="008C7A93" w:rsidRPr="00DF1530">
        <w:rPr>
          <w:lang w:val="ru-RU"/>
        </w:rPr>
        <w:t xml:space="preserve"> </w:t>
      </w:r>
      <w:r w:rsidR="00157CE7" w:rsidRPr="00DF1530">
        <w:rPr>
          <w:lang w:val="ru-RU"/>
        </w:rPr>
        <w:t xml:space="preserve">развития </w:t>
      </w:r>
      <w:r w:rsidR="00834072" w:rsidRPr="00DF1530">
        <w:rPr>
          <w:lang w:val="ru-RU"/>
        </w:rPr>
        <w:t>предпринимательск</w:t>
      </w:r>
      <w:r w:rsidR="00157CE7" w:rsidRPr="00DF1530">
        <w:rPr>
          <w:lang w:val="ru-RU"/>
        </w:rPr>
        <w:t>ой</w:t>
      </w:r>
      <w:r w:rsidR="00834072" w:rsidRPr="00DF1530">
        <w:rPr>
          <w:lang w:val="ru-RU"/>
        </w:rPr>
        <w:t xml:space="preserve"> деятельност</w:t>
      </w:r>
      <w:r w:rsidR="00157CE7" w:rsidRPr="00DF1530">
        <w:rPr>
          <w:lang w:val="ru-RU"/>
        </w:rPr>
        <w:t xml:space="preserve">и и </w:t>
      </w:r>
      <w:r w:rsidR="00834072" w:rsidRPr="00DF1530">
        <w:rPr>
          <w:lang w:val="ru-RU"/>
        </w:rPr>
        <w:t>МСП</w:t>
      </w:r>
      <w:r w:rsidR="008C7A93" w:rsidRPr="00DF1530">
        <w:rPr>
          <w:lang w:val="ru-RU"/>
        </w:rPr>
        <w:t xml:space="preserve"> </w:t>
      </w:r>
      <w:r w:rsidR="00157CE7" w:rsidRPr="00DF1530">
        <w:rPr>
          <w:lang w:val="ru-RU"/>
        </w:rPr>
        <w:t xml:space="preserve">и более высоком </w:t>
      </w:r>
      <w:r w:rsidR="00AD05F1" w:rsidRPr="00DF1530">
        <w:rPr>
          <w:lang w:val="ru-RU"/>
        </w:rPr>
        <w:t>уровн</w:t>
      </w:r>
      <w:r w:rsidR="00157CE7" w:rsidRPr="00DF1530">
        <w:rPr>
          <w:lang w:val="ru-RU"/>
        </w:rPr>
        <w:t>е</w:t>
      </w:r>
      <w:r w:rsidR="008C7A93" w:rsidRPr="00DF1530">
        <w:rPr>
          <w:lang w:val="ru-RU"/>
        </w:rPr>
        <w:t xml:space="preserve"> </w:t>
      </w:r>
      <w:r w:rsidR="00157CE7" w:rsidRPr="00DF1530">
        <w:rPr>
          <w:lang w:val="ru-RU"/>
        </w:rPr>
        <w:t xml:space="preserve">требуемой </w:t>
      </w:r>
      <w:r w:rsidR="00E57A1C" w:rsidRPr="00DF1530">
        <w:rPr>
          <w:lang w:val="ru-RU"/>
        </w:rPr>
        <w:t>поддержк</w:t>
      </w:r>
      <w:r w:rsidR="00157CE7" w:rsidRPr="00DF1530">
        <w:rPr>
          <w:lang w:val="ru-RU"/>
        </w:rPr>
        <w:t>и</w:t>
      </w:r>
      <w:r w:rsidR="008C7A93" w:rsidRPr="00DF1530">
        <w:rPr>
          <w:lang w:val="ru-RU"/>
        </w:rPr>
        <w:t xml:space="preserve"> </w:t>
      </w:r>
      <w:r w:rsidR="00157CE7" w:rsidRPr="00DF1530">
        <w:rPr>
          <w:lang w:val="ru-RU"/>
        </w:rPr>
        <w:t xml:space="preserve">определение того, где и какое необходимо стратегическое вмешательство </w:t>
      </w:r>
      <w:r w:rsidR="00BD465D" w:rsidRPr="00DF1530">
        <w:rPr>
          <w:lang w:val="ru-RU"/>
        </w:rPr>
        <w:t xml:space="preserve">– </w:t>
      </w:r>
      <w:r w:rsidR="00157CE7" w:rsidRPr="00DF1530">
        <w:rPr>
          <w:lang w:val="ru-RU"/>
        </w:rPr>
        <w:t xml:space="preserve">сложная задача для </w:t>
      </w:r>
      <w:r w:rsidR="000855A8" w:rsidRPr="00DF1530">
        <w:rPr>
          <w:lang w:val="ru-RU"/>
        </w:rPr>
        <w:t>региональн</w:t>
      </w:r>
      <w:r w:rsidR="00157CE7" w:rsidRPr="00DF1530">
        <w:rPr>
          <w:lang w:val="ru-RU"/>
        </w:rPr>
        <w:t>ой</w:t>
      </w:r>
      <w:r w:rsidR="008C7A93" w:rsidRPr="00DF1530">
        <w:rPr>
          <w:lang w:val="ru-RU"/>
        </w:rPr>
        <w:t xml:space="preserve"> </w:t>
      </w:r>
      <w:r w:rsidR="00157CE7" w:rsidRPr="00DF1530">
        <w:rPr>
          <w:lang w:val="ru-RU"/>
        </w:rPr>
        <w:t xml:space="preserve">и </w:t>
      </w:r>
      <w:r w:rsidR="00AD05F1" w:rsidRPr="00DF1530">
        <w:rPr>
          <w:lang w:val="ru-RU"/>
        </w:rPr>
        <w:t>муниципальн</w:t>
      </w:r>
      <w:r w:rsidR="00157CE7" w:rsidRPr="00DF1530">
        <w:rPr>
          <w:lang w:val="ru-RU"/>
        </w:rPr>
        <w:t>о</w:t>
      </w:r>
      <w:r w:rsidR="00AD05F1" w:rsidRPr="00DF1530">
        <w:rPr>
          <w:lang w:val="ru-RU"/>
        </w:rPr>
        <w:t>й</w:t>
      </w:r>
      <w:r w:rsidR="008C7A93" w:rsidRPr="00DF1530">
        <w:rPr>
          <w:lang w:val="ru-RU"/>
        </w:rPr>
        <w:t xml:space="preserve"> </w:t>
      </w:r>
      <w:r w:rsidR="00157CE7" w:rsidRPr="00DF1530">
        <w:rPr>
          <w:lang w:val="ru-RU"/>
        </w:rPr>
        <w:t>администрации с ограниченными бюджетами</w:t>
      </w:r>
      <w:r w:rsidR="008C7A93" w:rsidRPr="00DF1530">
        <w:rPr>
          <w:lang w:val="ru-RU"/>
        </w:rPr>
        <w:t xml:space="preserve">. </w:t>
      </w:r>
      <w:r w:rsidR="00157CE7" w:rsidRPr="00DF1530">
        <w:rPr>
          <w:lang w:val="ru-RU"/>
        </w:rPr>
        <w:t xml:space="preserve">Ограниченные возможности по разработке политики </w:t>
      </w:r>
      <w:r w:rsidR="00592D7B" w:rsidRPr="00DF1530">
        <w:rPr>
          <w:lang w:val="ru-RU"/>
        </w:rPr>
        <w:t>также</w:t>
      </w:r>
      <w:r w:rsidR="008C7A93" w:rsidRPr="00DF1530">
        <w:rPr>
          <w:lang w:val="ru-RU"/>
        </w:rPr>
        <w:t xml:space="preserve"> </w:t>
      </w:r>
      <w:r w:rsidR="00157CE7" w:rsidRPr="00DF1530">
        <w:rPr>
          <w:lang w:val="ru-RU"/>
        </w:rPr>
        <w:t xml:space="preserve">означают, что некоторые из этих </w:t>
      </w:r>
      <w:r w:rsidR="004750CA" w:rsidRPr="00DF1530">
        <w:rPr>
          <w:lang w:val="ru-RU"/>
        </w:rPr>
        <w:t>регион</w:t>
      </w:r>
      <w:r w:rsidR="00157CE7" w:rsidRPr="00DF1530">
        <w:rPr>
          <w:lang w:val="ru-RU"/>
        </w:rPr>
        <w:t xml:space="preserve">ов и </w:t>
      </w:r>
      <w:r w:rsidR="00AD05F1" w:rsidRPr="00DF1530">
        <w:rPr>
          <w:lang w:val="ru-RU"/>
        </w:rPr>
        <w:t>муниципал</w:t>
      </w:r>
      <w:r w:rsidR="00157CE7" w:rsidRPr="00DF1530">
        <w:rPr>
          <w:lang w:val="ru-RU"/>
        </w:rPr>
        <w:t>итетов не в состоянии в полном объ</w:t>
      </w:r>
      <w:r w:rsidR="00BD465D" w:rsidRPr="00DF1530">
        <w:rPr>
          <w:lang w:val="ru-RU"/>
        </w:rPr>
        <w:t>е</w:t>
      </w:r>
      <w:r w:rsidR="00157CE7" w:rsidRPr="00DF1530">
        <w:rPr>
          <w:lang w:val="ru-RU"/>
        </w:rPr>
        <w:t xml:space="preserve">ме воспользоваться </w:t>
      </w:r>
      <w:r w:rsidR="0010795B" w:rsidRPr="00DF1530">
        <w:rPr>
          <w:lang w:val="ru-RU"/>
        </w:rPr>
        <w:t>национальн</w:t>
      </w:r>
      <w:r w:rsidR="00157CE7" w:rsidRPr="00DF1530">
        <w:rPr>
          <w:lang w:val="ru-RU"/>
        </w:rPr>
        <w:t>ыми программами по</w:t>
      </w:r>
      <w:r w:rsidR="008C7A93" w:rsidRPr="00DF1530">
        <w:rPr>
          <w:lang w:val="ru-RU"/>
        </w:rPr>
        <w:t xml:space="preserve"> </w:t>
      </w:r>
      <w:r w:rsidR="003F5CB4" w:rsidRPr="00DF1530">
        <w:rPr>
          <w:lang w:val="ru-RU"/>
        </w:rPr>
        <w:t>МСП и предпринимательск</w:t>
      </w:r>
      <w:r w:rsidR="00157CE7" w:rsidRPr="00DF1530">
        <w:rPr>
          <w:lang w:val="ru-RU"/>
        </w:rPr>
        <w:t>ой</w:t>
      </w:r>
      <w:r w:rsidR="003F5CB4" w:rsidRPr="00DF1530">
        <w:rPr>
          <w:lang w:val="ru-RU"/>
        </w:rPr>
        <w:t xml:space="preserve"> деятельност</w:t>
      </w:r>
      <w:r w:rsidR="00157CE7" w:rsidRPr="00DF1530">
        <w:rPr>
          <w:lang w:val="ru-RU"/>
        </w:rPr>
        <w:t>и</w:t>
      </w:r>
      <w:r w:rsidR="008C7A93" w:rsidRPr="00DF1530">
        <w:rPr>
          <w:lang w:val="ru-RU"/>
        </w:rPr>
        <w:t xml:space="preserve">. </w:t>
      </w:r>
      <w:r w:rsidR="003F13A5" w:rsidRPr="00DF1530">
        <w:rPr>
          <w:lang w:val="ru-RU"/>
        </w:rPr>
        <w:t>Кроме того</w:t>
      </w:r>
      <w:r w:rsidR="008C7A93" w:rsidRPr="00DF1530">
        <w:rPr>
          <w:lang w:val="ru-RU"/>
        </w:rPr>
        <w:t xml:space="preserve">, </w:t>
      </w:r>
      <w:r w:rsidR="00157CE7" w:rsidRPr="00DF1530">
        <w:rPr>
          <w:lang w:val="ru-RU"/>
        </w:rPr>
        <w:t xml:space="preserve">надежная оценка </w:t>
      </w:r>
      <w:r w:rsidR="0023536F" w:rsidRPr="00DF1530">
        <w:rPr>
          <w:lang w:val="ru-RU"/>
        </w:rPr>
        <w:t>программ</w:t>
      </w:r>
      <w:r w:rsidR="008C7A93" w:rsidRPr="00DF1530">
        <w:rPr>
          <w:lang w:val="ru-RU"/>
        </w:rPr>
        <w:t xml:space="preserve"> </w:t>
      </w:r>
      <w:r w:rsidR="00157CE7" w:rsidRPr="00DF1530">
        <w:rPr>
          <w:lang w:val="ru-RU"/>
        </w:rPr>
        <w:t>редко используется дл</w:t>
      </w:r>
      <w:r w:rsidR="00907219" w:rsidRPr="00DF1530">
        <w:rPr>
          <w:lang w:val="ru-RU"/>
        </w:rPr>
        <w:t>я</w:t>
      </w:r>
      <w:r w:rsidR="00157CE7" w:rsidRPr="00DF1530">
        <w:rPr>
          <w:lang w:val="ru-RU"/>
        </w:rPr>
        <w:t xml:space="preserve"> получения данных для разработки стратегии</w:t>
      </w:r>
      <w:r w:rsidR="008C7A93" w:rsidRPr="00DF1530">
        <w:rPr>
          <w:lang w:val="ru-RU"/>
        </w:rPr>
        <w:t xml:space="preserve">, </w:t>
      </w:r>
      <w:r w:rsidR="00157CE7" w:rsidRPr="00DF1530">
        <w:rPr>
          <w:lang w:val="ru-RU"/>
        </w:rPr>
        <w:t xml:space="preserve">даже в передовых </w:t>
      </w:r>
      <w:r w:rsidR="004750CA" w:rsidRPr="00DF1530">
        <w:rPr>
          <w:lang w:val="ru-RU"/>
        </w:rPr>
        <w:t>регион</w:t>
      </w:r>
      <w:r w:rsidR="00157CE7" w:rsidRPr="00DF1530">
        <w:rPr>
          <w:lang w:val="ru-RU"/>
        </w:rPr>
        <w:t>ах</w:t>
      </w:r>
      <w:r w:rsidR="008C7A93" w:rsidRPr="00DF1530">
        <w:rPr>
          <w:lang w:val="ru-RU"/>
        </w:rPr>
        <w:t xml:space="preserve">. </w:t>
      </w:r>
    </w:p>
    <w:p w:rsidR="008C7A93" w:rsidRPr="00DF1530" w:rsidRDefault="00157CE7" w:rsidP="008C7A93">
      <w:pPr>
        <w:pStyle w:val="31"/>
        <w:rPr>
          <w:lang w:val="ru-RU"/>
        </w:rPr>
      </w:pPr>
      <w:r w:rsidRPr="00DF1530">
        <w:rPr>
          <w:lang w:val="ru-RU"/>
        </w:rPr>
        <w:t xml:space="preserve">Многие </w:t>
      </w:r>
      <w:r w:rsidR="000855A8" w:rsidRPr="00DF1530">
        <w:rPr>
          <w:lang w:val="ru-RU"/>
        </w:rPr>
        <w:t>региональные</w:t>
      </w:r>
      <w:r w:rsidR="008C7A93" w:rsidRPr="00DF1530">
        <w:rPr>
          <w:lang w:val="ru-RU"/>
        </w:rPr>
        <w:t xml:space="preserve"> </w:t>
      </w:r>
      <w:r w:rsidRPr="00DF1530">
        <w:rPr>
          <w:lang w:val="ru-RU"/>
        </w:rPr>
        <w:t xml:space="preserve">и </w:t>
      </w:r>
      <w:r w:rsidR="00AD05F1" w:rsidRPr="00DF1530">
        <w:rPr>
          <w:lang w:val="ru-RU"/>
        </w:rPr>
        <w:t>муниципальны</w:t>
      </w:r>
      <w:r w:rsidRPr="00DF1530">
        <w:rPr>
          <w:lang w:val="ru-RU"/>
        </w:rPr>
        <w:t>е</w:t>
      </w:r>
      <w:r w:rsidR="008C7A93" w:rsidRPr="00DF1530">
        <w:rPr>
          <w:lang w:val="ru-RU"/>
        </w:rPr>
        <w:t xml:space="preserve"> </w:t>
      </w:r>
      <w:r w:rsidR="00AD05F1" w:rsidRPr="00DF1530">
        <w:rPr>
          <w:lang w:val="ru-RU"/>
        </w:rPr>
        <w:t>правительства</w:t>
      </w:r>
      <w:r w:rsidR="008C7A93" w:rsidRPr="00DF1530">
        <w:rPr>
          <w:lang w:val="ru-RU"/>
        </w:rPr>
        <w:t xml:space="preserve"> </w:t>
      </w:r>
      <w:r w:rsidRPr="00DF1530">
        <w:rPr>
          <w:lang w:val="ru-RU"/>
        </w:rPr>
        <w:t>совершенствуют условия местного регулирования</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102</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531377" w:rsidRPr="00DF1530">
        <w:rPr>
          <w:lang w:val="ru-RU"/>
        </w:rPr>
        <w:t xml:space="preserve">В ряде российских </w:t>
      </w:r>
      <w:r w:rsidR="004750CA" w:rsidRPr="00DF1530">
        <w:rPr>
          <w:lang w:val="ru-RU"/>
        </w:rPr>
        <w:t>регион</w:t>
      </w:r>
      <w:r w:rsidR="00531377" w:rsidRPr="00DF1530">
        <w:rPr>
          <w:lang w:val="ru-RU"/>
        </w:rPr>
        <w:t>ов и муниципалитетов</w:t>
      </w:r>
      <w:r w:rsidR="008C7A93" w:rsidRPr="00DF1530">
        <w:rPr>
          <w:lang w:val="ru-RU"/>
        </w:rPr>
        <w:t xml:space="preserve"> </w:t>
      </w:r>
      <w:r w:rsidR="00531377" w:rsidRPr="00DF1530">
        <w:rPr>
          <w:lang w:val="ru-RU"/>
        </w:rPr>
        <w:t>принимаются меры для улучшения их систем регулирования по предпринимательской деятельности</w:t>
      </w:r>
      <w:r w:rsidR="008C7A93" w:rsidRPr="00DF1530">
        <w:rPr>
          <w:lang w:val="ru-RU"/>
        </w:rPr>
        <w:t xml:space="preserve">. </w:t>
      </w:r>
      <w:r w:rsidR="00531377" w:rsidRPr="00DF1530">
        <w:rPr>
          <w:lang w:val="ru-RU"/>
        </w:rPr>
        <w:t xml:space="preserve">Примеры включают введение </w:t>
      </w:r>
      <w:r w:rsidR="00E3075C" w:rsidRPr="00DF1530">
        <w:rPr>
          <w:lang w:val="ru-RU"/>
        </w:rPr>
        <w:t xml:space="preserve">режима </w:t>
      </w:r>
      <w:r w:rsidR="00531377" w:rsidRPr="00DF1530">
        <w:rPr>
          <w:lang w:val="ru-RU"/>
        </w:rPr>
        <w:t xml:space="preserve">«одного окна» во взаимоотношениях </w:t>
      </w:r>
      <w:r w:rsidR="000855A8" w:rsidRPr="00DF1530">
        <w:rPr>
          <w:lang w:val="ru-RU"/>
        </w:rPr>
        <w:t>региональн</w:t>
      </w:r>
      <w:r w:rsidR="00531377" w:rsidRPr="00DF1530">
        <w:rPr>
          <w:lang w:val="ru-RU"/>
        </w:rPr>
        <w:t xml:space="preserve">ого и местного </w:t>
      </w:r>
      <w:r w:rsidR="00CD71D1" w:rsidRPr="00DF1530">
        <w:rPr>
          <w:lang w:val="ru-RU"/>
        </w:rPr>
        <w:t>правительств</w:t>
      </w:r>
      <w:r w:rsidR="00531377" w:rsidRPr="00DF1530">
        <w:rPr>
          <w:lang w:val="ru-RU"/>
        </w:rPr>
        <w:t>а</w:t>
      </w:r>
      <w:r w:rsidR="008C7A93" w:rsidRPr="00DF1530">
        <w:rPr>
          <w:lang w:val="ru-RU"/>
        </w:rPr>
        <w:t xml:space="preserve"> </w:t>
      </w:r>
      <w:r w:rsidR="00531377" w:rsidRPr="00DF1530">
        <w:rPr>
          <w:lang w:val="ru-RU"/>
        </w:rPr>
        <w:t>с предпринимателями</w:t>
      </w:r>
      <w:r w:rsidR="00074465" w:rsidRPr="00DF1530">
        <w:rPr>
          <w:lang w:val="ru-RU"/>
        </w:rPr>
        <w:t>,</w:t>
      </w:r>
      <w:r w:rsidR="00531377" w:rsidRPr="00DF1530">
        <w:rPr>
          <w:lang w:val="ru-RU"/>
        </w:rPr>
        <w:t xml:space="preserve"> службы помощи и апелляционные процедуры для </w:t>
      </w:r>
      <w:r w:rsidR="00297F6F" w:rsidRPr="00DF1530">
        <w:rPr>
          <w:lang w:val="ru-RU"/>
        </w:rPr>
        <w:t>предприяти</w:t>
      </w:r>
      <w:r w:rsidR="00531377" w:rsidRPr="00DF1530">
        <w:rPr>
          <w:lang w:val="ru-RU"/>
        </w:rPr>
        <w:t>й</w:t>
      </w:r>
      <w:r w:rsidR="008C7A93" w:rsidRPr="00DF1530">
        <w:rPr>
          <w:lang w:val="ru-RU"/>
        </w:rPr>
        <w:t xml:space="preserve"> </w:t>
      </w:r>
      <w:r w:rsidR="00531377" w:rsidRPr="00DF1530">
        <w:rPr>
          <w:lang w:val="ru-RU"/>
        </w:rPr>
        <w:t>в связи с действиями официальных лиц по регулированию и проверкам</w:t>
      </w:r>
      <w:r w:rsidR="008C7A93" w:rsidRPr="00DF1530">
        <w:rPr>
          <w:lang w:val="ru-RU"/>
        </w:rPr>
        <w:t xml:space="preserve">. </w:t>
      </w:r>
      <w:r w:rsidR="00531377" w:rsidRPr="00DF1530">
        <w:rPr>
          <w:lang w:val="ru-RU"/>
        </w:rPr>
        <w:t xml:space="preserve">Процессы местных государственных закупок открываются для </w:t>
      </w:r>
      <w:r w:rsidR="00F736B7" w:rsidRPr="00DF1530">
        <w:rPr>
          <w:lang w:val="ru-RU"/>
        </w:rPr>
        <w:t>МСП</w:t>
      </w:r>
      <w:r w:rsidR="008C7A93" w:rsidRPr="00DF1530">
        <w:rPr>
          <w:lang w:val="ru-RU"/>
        </w:rPr>
        <w:t xml:space="preserve"> </w:t>
      </w:r>
      <w:r w:rsidR="00531377" w:rsidRPr="00DF1530">
        <w:rPr>
          <w:lang w:val="ru-RU"/>
        </w:rPr>
        <w:t>и новых предприятий</w:t>
      </w:r>
      <w:r w:rsidR="008C7A93" w:rsidRPr="00DF1530">
        <w:rPr>
          <w:lang w:val="ru-RU"/>
        </w:rPr>
        <w:t xml:space="preserve">, </w:t>
      </w:r>
      <w:r w:rsidR="00531377" w:rsidRPr="00DF1530">
        <w:rPr>
          <w:lang w:val="ru-RU"/>
        </w:rPr>
        <w:t xml:space="preserve">в каждом регионе вводится должность </w:t>
      </w:r>
      <w:r w:rsidR="000855A8" w:rsidRPr="00DF1530">
        <w:rPr>
          <w:lang w:val="ru-RU"/>
        </w:rPr>
        <w:t>региональн</w:t>
      </w:r>
      <w:r w:rsidR="00531377" w:rsidRPr="00DF1530">
        <w:rPr>
          <w:lang w:val="ru-RU"/>
        </w:rPr>
        <w:t>ого бизнес-омбудсмена</w:t>
      </w:r>
      <w:r w:rsidR="008C7A93" w:rsidRPr="00DF1530">
        <w:rPr>
          <w:lang w:val="ru-RU"/>
        </w:rPr>
        <w:t xml:space="preserve">. </w:t>
      </w:r>
      <w:r w:rsidR="00531377" w:rsidRPr="00DF1530">
        <w:rPr>
          <w:lang w:val="ru-RU"/>
        </w:rPr>
        <w:t>Ф</w:t>
      </w:r>
      <w:r w:rsidR="00EB1372" w:rsidRPr="00DF1530">
        <w:rPr>
          <w:lang w:val="ru-RU"/>
        </w:rPr>
        <w:t>едеральн</w:t>
      </w:r>
      <w:r w:rsidR="00531377" w:rsidRPr="00DF1530">
        <w:rPr>
          <w:lang w:val="ru-RU"/>
        </w:rPr>
        <w:t xml:space="preserve">ое </w:t>
      </w:r>
      <w:r w:rsidR="00CD71D1" w:rsidRPr="00DF1530">
        <w:rPr>
          <w:lang w:val="ru-RU"/>
        </w:rPr>
        <w:t>правительство</w:t>
      </w:r>
      <w:r w:rsidR="008C7A93" w:rsidRPr="00DF1530">
        <w:rPr>
          <w:lang w:val="ru-RU"/>
        </w:rPr>
        <w:t xml:space="preserve"> </w:t>
      </w:r>
      <w:r w:rsidR="00531377" w:rsidRPr="00DF1530">
        <w:rPr>
          <w:lang w:val="ru-RU"/>
        </w:rPr>
        <w:t xml:space="preserve">должно сохранить этот позитивный процесс, призвав все </w:t>
      </w:r>
      <w:r w:rsidR="004750CA" w:rsidRPr="00DF1530">
        <w:rPr>
          <w:lang w:val="ru-RU"/>
        </w:rPr>
        <w:t>регионы</w:t>
      </w:r>
      <w:r w:rsidR="008C7A93" w:rsidRPr="00DF1530">
        <w:rPr>
          <w:lang w:val="ru-RU"/>
        </w:rPr>
        <w:t xml:space="preserve"> </w:t>
      </w:r>
      <w:r w:rsidR="00531377" w:rsidRPr="00DF1530">
        <w:rPr>
          <w:lang w:val="ru-RU"/>
        </w:rPr>
        <w:t>принять оптимальную практику</w:t>
      </w:r>
      <w:r w:rsidR="008C7A93" w:rsidRPr="00DF1530">
        <w:rPr>
          <w:lang w:val="ru-RU"/>
        </w:rPr>
        <w:t xml:space="preserve">. </w:t>
      </w:r>
    </w:p>
    <w:p w:rsidR="008C7A93" w:rsidRPr="00DF1530" w:rsidRDefault="002A5CF7" w:rsidP="008C7A93">
      <w:pPr>
        <w:pStyle w:val="31"/>
        <w:rPr>
          <w:lang w:val="ru-RU"/>
        </w:rPr>
      </w:pPr>
      <w:r w:rsidRPr="00DF1530">
        <w:rPr>
          <w:lang w:val="ru-RU"/>
        </w:rPr>
        <w:t>В целом хорошая координация ф</w:t>
      </w:r>
      <w:r w:rsidR="00EB1372" w:rsidRPr="00DF1530">
        <w:rPr>
          <w:lang w:val="ru-RU"/>
        </w:rPr>
        <w:t>едеральн</w:t>
      </w:r>
      <w:r w:rsidRPr="00DF1530">
        <w:rPr>
          <w:lang w:val="ru-RU"/>
        </w:rPr>
        <w:t>о</w:t>
      </w:r>
      <w:r w:rsidR="00EB1372" w:rsidRPr="00DF1530">
        <w:rPr>
          <w:lang w:val="ru-RU"/>
        </w:rPr>
        <w:t>й</w:t>
      </w:r>
      <w:r w:rsidRPr="00DF1530">
        <w:rPr>
          <w:lang w:val="ru-RU"/>
        </w:rPr>
        <w:t xml:space="preserve"> и местной политики </w:t>
      </w:r>
    </w:p>
    <w:p w:rsidR="008C7A93" w:rsidRPr="00DF1530" w:rsidRDefault="009030BD" w:rsidP="008C7A93">
      <w:pPr>
        <w:pStyle w:val="Num-DocParagraph"/>
        <w:rPr>
          <w:lang w:val="ru-RU"/>
        </w:rPr>
      </w:pPr>
      <w:r w:rsidRPr="00DF1530">
        <w:rPr>
          <w:lang w:val="ru-RU"/>
        </w:rPr>
        <w:fldChar w:fldCharType="begin"/>
      </w:r>
      <w:r w:rsidR="008C7A93" w:rsidRPr="00DF1530">
        <w:rPr>
          <w:lang w:val="ru-RU"/>
        </w:rPr>
        <w:instrText xml:space="preserve"> MACROBUTTON NUMBERING </w:instrText>
      </w:r>
      <w:r w:rsidRPr="00DF1530">
        <w:rPr>
          <w:lang w:val="ru-RU"/>
        </w:rPr>
        <w:fldChar w:fldCharType="begin"/>
      </w:r>
      <w:r w:rsidR="008C7A93" w:rsidRPr="00DF1530">
        <w:rPr>
          <w:lang w:val="ru-RU"/>
        </w:rPr>
        <w:instrText xml:space="preserve"> SEQ  dpara</w:instrText>
      </w:r>
      <w:r w:rsidRPr="00DF1530">
        <w:rPr>
          <w:lang w:val="ru-RU"/>
        </w:rPr>
        <w:fldChar w:fldCharType="separate"/>
      </w:r>
      <w:r w:rsidR="008C7A93" w:rsidRPr="00DF1530">
        <w:rPr>
          <w:noProof/>
          <w:lang w:val="ru-RU"/>
        </w:rPr>
        <w:instrText>103</w:instrText>
      </w:r>
      <w:r w:rsidRPr="00DF1530">
        <w:rPr>
          <w:lang w:val="ru-RU"/>
        </w:rPr>
        <w:fldChar w:fldCharType="end"/>
      </w:r>
      <w:r w:rsidR="008C7A93" w:rsidRPr="00DF1530">
        <w:rPr>
          <w:lang w:val="ru-RU"/>
        </w:rPr>
        <w:instrText>.</w:instrText>
      </w:r>
      <w:r w:rsidR="008C7A93" w:rsidRPr="00DF1530">
        <w:rPr>
          <w:lang w:val="ru-RU"/>
        </w:rPr>
        <w:tab/>
      </w:r>
      <w:r w:rsidRPr="00DF1530">
        <w:rPr>
          <w:lang w:val="ru-RU"/>
        </w:rPr>
        <w:fldChar w:fldCharType="end"/>
      </w:r>
      <w:r w:rsidR="007A4B12" w:rsidRPr="00DF1530">
        <w:rPr>
          <w:lang w:val="ru-RU"/>
        </w:rPr>
        <w:t xml:space="preserve">Основным средством </w:t>
      </w:r>
      <w:r w:rsidR="00B83DB5" w:rsidRPr="00DF1530">
        <w:rPr>
          <w:lang w:val="ru-RU"/>
        </w:rPr>
        <w:t>координаци</w:t>
      </w:r>
      <w:r w:rsidR="007A4B12" w:rsidRPr="00DF1530">
        <w:rPr>
          <w:lang w:val="ru-RU"/>
        </w:rPr>
        <w:t>и</w:t>
      </w:r>
      <w:r w:rsidR="008C7A93" w:rsidRPr="00DF1530">
        <w:rPr>
          <w:lang w:val="ru-RU"/>
        </w:rPr>
        <w:t xml:space="preserve"> </w:t>
      </w:r>
      <w:r w:rsidR="007A4B12" w:rsidRPr="00DF1530">
        <w:rPr>
          <w:lang w:val="ru-RU"/>
        </w:rPr>
        <w:t xml:space="preserve">между </w:t>
      </w:r>
      <w:r w:rsidR="00EB1372" w:rsidRPr="00DF1530">
        <w:rPr>
          <w:lang w:val="ru-RU"/>
        </w:rPr>
        <w:t>федеральны</w:t>
      </w:r>
      <w:r w:rsidR="007A4B12" w:rsidRPr="00DF1530">
        <w:rPr>
          <w:lang w:val="ru-RU"/>
        </w:rPr>
        <w:t>м</w:t>
      </w:r>
      <w:r w:rsidR="008C7A93" w:rsidRPr="00DF1530">
        <w:rPr>
          <w:lang w:val="ru-RU"/>
        </w:rPr>
        <w:t xml:space="preserve">, </w:t>
      </w:r>
      <w:r w:rsidR="000855A8" w:rsidRPr="00DF1530">
        <w:rPr>
          <w:lang w:val="ru-RU"/>
        </w:rPr>
        <w:t>региональны</w:t>
      </w:r>
      <w:r w:rsidR="007A4B12" w:rsidRPr="00DF1530">
        <w:rPr>
          <w:lang w:val="ru-RU"/>
        </w:rPr>
        <w:t>ми</w:t>
      </w:r>
      <w:r w:rsidR="008C7A93" w:rsidRPr="00DF1530">
        <w:rPr>
          <w:lang w:val="ru-RU"/>
        </w:rPr>
        <w:t xml:space="preserve"> </w:t>
      </w:r>
      <w:r w:rsidR="007A4B12" w:rsidRPr="00DF1530">
        <w:rPr>
          <w:lang w:val="ru-RU"/>
        </w:rPr>
        <w:t xml:space="preserve">и </w:t>
      </w:r>
      <w:r w:rsidR="00AD05F1" w:rsidRPr="00DF1530">
        <w:rPr>
          <w:lang w:val="ru-RU"/>
        </w:rPr>
        <w:t>муниципальны</w:t>
      </w:r>
      <w:r w:rsidR="007A4B12" w:rsidRPr="00DF1530">
        <w:rPr>
          <w:lang w:val="ru-RU"/>
        </w:rPr>
        <w:t>ми</w:t>
      </w:r>
      <w:r w:rsidR="008C7A93" w:rsidRPr="00DF1530">
        <w:rPr>
          <w:lang w:val="ru-RU"/>
        </w:rPr>
        <w:t xml:space="preserve"> </w:t>
      </w:r>
      <w:r w:rsidR="00AD05F1" w:rsidRPr="00DF1530">
        <w:rPr>
          <w:lang w:val="ru-RU"/>
        </w:rPr>
        <w:t>уровн</w:t>
      </w:r>
      <w:r w:rsidR="007A4B12" w:rsidRPr="00DF1530">
        <w:rPr>
          <w:lang w:val="ru-RU"/>
        </w:rPr>
        <w:t>ями</w:t>
      </w:r>
      <w:r w:rsidR="008C7A93" w:rsidRPr="00DF1530">
        <w:rPr>
          <w:lang w:val="ru-RU"/>
        </w:rPr>
        <w:t xml:space="preserve"> </w:t>
      </w:r>
      <w:r w:rsidR="007A4B12" w:rsidRPr="00DF1530">
        <w:rPr>
          <w:lang w:val="ru-RU"/>
        </w:rPr>
        <w:t xml:space="preserve">является </w:t>
      </w:r>
      <w:r w:rsidR="0032434C" w:rsidRPr="00DF1530">
        <w:rPr>
          <w:lang w:val="ru-RU"/>
        </w:rPr>
        <w:t>Ф</w:t>
      </w:r>
      <w:r w:rsidR="00EB1372" w:rsidRPr="00DF1530">
        <w:rPr>
          <w:lang w:val="ru-RU"/>
        </w:rPr>
        <w:t>едеральный</w:t>
      </w:r>
      <w:r w:rsidR="008C7A93" w:rsidRPr="00DF1530">
        <w:rPr>
          <w:lang w:val="ru-RU"/>
        </w:rPr>
        <w:t xml:space="preserve"> </w:t>
      </w:r>
      <w:r w:rsidR="0032434C" w:rsidRPr="00DF1530">
        <w:rPr>
          <w:lang w:val="ru-RU"/>
        </w:rPr>
        <w:t>з</w:t>
      </w:r>
      <w:r w:rsidR="00EB1372" w:rsidRPr="00DF1530">
        <w:rPr>
          <w:lang w:val="ru-RU"/>
        </w:rPr>
        <w:t xml:space="preserve">акон </w:t>
      </w:r>
      <w:r w:rsidR="0032434C" w:rsidRPr="00DF1530">
        <w:rPr>
          <w:lang w:val="ru-RU"/>
        </w:rPr>
        <w:t>«О развитии малого и среднего предпринимательства в Российской Федерации» от 2007 года</w:t>
      </w:r>
      <w:r w:rsidR="008C7A93" w:rsidRPr="00DF1530">
        <w:rPr>
          <w:lang w:val="ru-RU"/>
        </w:rPr>
        <w:t xml:space="preserve">, </w:t>
      </w:r>
      <w:r w:rsidR="007A4B12" w:rsidRPr="00DF1530">
        <w:rPr>
          <w:lang w:val="ru-RU"/>
        </w:rPr>
        <w:t xml:space="preserve">в котором установлены </w:t>
      </w:r>
      <w:r w:rsidR="00EB1372" w:rsidRPr="00DF1530">
        <w:rPr>
          <w:lang w:val="ru-RU"/>
        </w:rPr>
        <w:t>принципы</w:t>
      </w:r>
      <w:r w:rsidR="008C7A93" w:rsidRPr="00DF1530">
        <w:rPr>
          <w:lang w:val="ru-RU"/>
        </w:rPr>
        <w:t xml:space="preserve"> </w:t>
      </w:r>
      <w:r w:rsidR="007A4B12" w:rsidRPr="00DF1530">
        <w:rPr>
          <w:lang w:val="ru-RU"/>
        </w:rPr>
        <w:t xml:space="preserve">и </w:t>
      </w:r>
      <w:r w:rsidR="00EB1372" w:rsidRPr="00DF1530">
        <w:rPr>
          <w:lang w:val="ru-RU"/>
        </w:rPr>
        <w:t>механизмы</w:t>
      </w:r>
      <w:r w:rsidR="008C7A93" w:rsidRPr="00DF1530">
        <w:rPr>
          <w:lang w:val="ru-RU"/>
        </w:rPr>
        <w:t xml:space="preserve">, </w:t>
      </w:r>
      <w:r w:rsidR="007A4B12" w:rsidRPr="00DF1530">
        <w:rPr>
          <w:lang w:val="ru-RU"/>
        </w:rPr>
        <w:t>определены целевые группы</w:t>
      </w:r>
      <w:r w:rsidR="008C7A93" w:rsidRPr="00DF1530">
        <w:rPr>
          <w:lang w:val="ru-RU"/>
        </w:rPr>
        <w:t xml:space="preserve"> </w:t>
      </w:r>
      <w:r w:rsidR="007A4B12" w:rsidRPr="00DF1530">
        <w:rPr>
          <w:lang w:val="ru-RU"/>
        </w:rPr>
        <w:t xml:space="preserve">и предусмотрены схемы и формы </w:t>
      </w:r>
      <w:r w:rsidR="00E57A1C" w:rsidRPr="00DF1530">
        <w:rPr>
          <w:lang w:val="ru-RU"/>
        </w:rPr>
        <w:t>поддержк</w:t>
      </w:r>
      <w:r w:rsidR="007A4B12" w:rsidRPr="00DF1530">
        <w:rPr>
          <w:lang w:val="ru-RU"/>
        </w:rPr>
        <w:t>и</w:t>
      </w:r>
      <w:r w:rsidR="008C7A93" w:rsidRPr="00DF1530">
        <w:rPr>
          <w:lang w:val="ru-RU"/>
        </w:rPr>
        <w:t xml:space="preserve"> </w:t>
      </w:r>
      <w:r w:rsidR="007A4B12" w:rsidRPr="00DF1530">
        <w:rPr>
          <w:lang w:val="ru-RU"/>
        </w:rPr>
        <w:t xml:space="preserve">для </w:t>
      </w:r>
      <w:r w:rsidR="00F736B7" w:rsidRPr="00DF1530">
        <w:rPr>
          <w:lang w:val="ru-RU"/>
        </w:rPr>
        <w:t>МСП</w:t>
      </w:r>
      <w:r w:rsidR="008C7A93" w:rsidRPr="00DF1530">
        <w:rPr>
          <w:lang w:val="ru-RU"/>
        </w:rPr>
        <w:t xml:space="preserve"> </w:t>
      </w:r>
      <w:r w:rsidR="007A4B12" w:rsidRPr="00DF1530">
        <w:rPr>
          <w:lang w:val="ru-RU"/>
        </w:rPr>
        <w:t xml:space="preserve">на </w:t>
      </w:r>
      <w:r w:rsidR="000855A8" w:rsidRPr="00DF1530">
        <w:rPr>
          <w:lang w:val="ru-RU"/>
        </w:rPr>
        <w:t>региональны</w:t>
      </w:r>
      <w:r w:rsidR="007A4B12" w:rsidRPr="00DF1530">
        <w:rPr>
          <w:lang w:val="ru-RU"/>
        </w:rPr>
        <w:t xml:space="preserve">х и </w:t>
      </w:r>
      <w:r w:rsidR="00AD05F1" w:rsidRPr="00DF1530">
        <w:rPr>
          <w:lang w:val="ru-RU"/>
        </w:rPr>
        <w:t>муниципальны</w:t>
      </w:r>
      <w:r w:rsidR="007A4B12" w:rsidRPr="00DF1530">
        <w:rPr>
          <w:lang w:val="ru-RU"/>
        </w:rPr>
        <w:t>х</w:t>
      </w:r>
      <w:r w:rsidR="008C7A93" w:rsidRPr="00DF1530">
        <w:rPr>
          <w:lang w:val="ru-RU"/>
        </w:rPr>
        <w:t xml:space="preserve"> </w:t>
      </w:r>
      <w:r w:rsidR="00AD05F1" w:rsidRPr="00DF1530">
        <w:rPr>
          <w:lang w:val="ru-RU"/>
        </w:rPr>
        <w:t>уровн</w:t>
      </w:r>
      <w:r w:rsidR="007A4B12" w:rsidRPr="00DF1530">
        <w:rPr>
          <w:lang w:val="ru-RU"/>
        </w:rPr>
        <w:t>ях</w:t>
      </w:r>
      <w:r w:rsidR="008C7A93" w:rsidRPr="00DF1530">
        <w:rPr>
          <w:lang w:val="ru-RU"/>
        </w:rPr>
        <w:t xml:space="preserve">. </w:t>
      </w:r>
      <w:r w:rsidR="00B7017E" w:rsidRPr="00DF1530">
        <w:rPr>
          <w:lang w:val="ru-RU"/>
        </w:rPr>
        <w:t>В целом</w:t>
      </w:r>
      <w:r w:rsidR="008C7A93" w:rsidRPr="00DF1530">
        <w:rPr>
          <w:lang w:val="ru-RU"/>
        </w:rPr>
        <w:t xml:space="preserve"> </w:t>
      </w:r>
      <w:r w:rsidR="00CF64E9" w:rsidRPr="00DF1530">
        <w:rPr>
          <w:lang w:val="ru-RU"/>
        </w:rPr>
        <w:t xml:space="preserve">сотрудничество и синергизм между </w:t>
      </w:r>
      <w:r w:rsidR="00EB1372" w:rsidRPr="00DF1530">
        <w:rPr>
          <w:lang w:val="ru-RU"/>
        </w:rPr>
        <w:t>федеральны</w:t>
      </w:r>
      <w:r w:rsidR="00CF64E9" w:rsidRPr="00DF1530">
        <w:rPr>
          <w:lang w:val="ru-RU"/>
        </w:rPr>
        <w:t>м и местными уровнями хорошие</w:t>
      </w:r>
      <w:r w:rsidR="008C7A93" w:rsidRPr="00DF1530">
        <w:rPr>
          <w:lang w:val="ru-RU"/>
        </w:rPr>
        <w:t xml:space="preserve">, </w:t>
      </w:r>
      <w:r w:rsidR="00CF64E9" w:rsidRPr="00DF1530">
        <w:rPr>
          <w:lang w:val="ru-RU"/>
        </w:rPr>
        <w:t xml:space="preserve">они действуют через широкие </w:t>
      </w:r>
      <w:r w:rsidR="000855A8" w:rsidRPr="00DF1530">
        <w:rPr>
          <w:lang w:val="ru-RU"/>
        </w:rPr>
        <w:t>региональные</w:t>
      </w:r>
      <w:r w:rsidR="008C7A93" w:rsidRPr="00DF1530">
        <w:rPr>
          <w:lang w:val="ru-RU"/>
        </w:rPr>
        <w:t xml:space="preserve"> </w:t>
      </w:r>
      <w:r w:rsidR="00CF64E9" w:rsidRPr="00DF1530">
        <w:rPr>
          <w:lang w:val="ru-RU"/>
        </w:rPr>
        <w:t xml:space="preserve">стратегии развития, разработанные на </w:t>
      </w:r>
      <w:r w:rsidR="000855A8" w:rsidRPr="00DF1530">
        <w:rPr>
          <w:lang w:val="ru-RU"/>
        </w:rPr>
        <w:t>региональн</w:t>
      </w:r>
      <w:r w:rsidR="00CF64E9" w:rsidRPr="00DF1530">
        <w:rPr>
          <w:lang w:val="ru-RU"/>
        </w:rPr>
        <w:t>ом</w:t>
      </w:r>
      <w:r w:rsidR="008C7A93" w:rsidRPr="00DF1530">
        <w:rPr>
          <w:lang w:val="ru-RU"/>
        </w:rPr>
        <w:t xml:space="preserve"> </w:t>
      </w:r>
      <w:r w:rsidR="00CF64E9" w:rsidRPr="00DF1530">
        <w:rPr>
          <w:lang w:val="ru-RU"/>
        </w:rPr>
        <w:t>уровне и приведенные в соответствие путем перекр</w:t>
      </w:r>
      <w:r w:rsidR="00BD465D" w:rsidRPr="00DF1530">
        <w:rPr>
          <w:lang w:val="ru-RU"/>
        </w:rPr>
        <w:t>е</w:t>
      </w:r>
      <w:r w:rsidR="00CF64E9" w:rsidRPr="00DF1530">
        <w:rPr>
          <w:lang w:val="ru-RU"/>
        </w:rPr>
        <w:t xml:space="preserve">стных ссылок с приоритетами </w:t>
      </w:r>
      <w:r w:rsidR="00EB1372" w:rsidRPr="00DF1530">
        <w:rPr>
          <w:lang w:val="ru-RU"/>
        </w:rPr>
        <w:t>федеральн</w:t>
      </w:r>
      <w:r w:rsidR="00CF64E9" w:rsidRPr="00DF1530">
        <w:rPr>
          <w:lang w:val="ru-RU"/>
        </w:rPr>
        <w:t>ого плана развития</w:t>
      </w:r>
      <w:r w:rsidR="008C7A93" w:rsidRPr="00DF1530">
        <w:rPr>
          <w:lang w:val="ru-RU"/>
        </w:rPr>
        <w:t xml:space="preserve">. </w:t>
      </w:r>
      <w:r w:rsidR="003A331F" w:rsidRPr="00DF1530">
        <w:rPr>
          <w:lang w:val="ru-RU"/>
        </w:rPr>
        <w:t xml:space="preserve">Согласованность с более широкой </w:t>
      </w:r>
      <w:r w:rsidR="0010795B" w:rsidRPr="00DF1530">
        <w:rPr>
          <w:lang w:val="ru-RU"/>
        </w:rPr>
        <w:t>национальн</w:t>
      </w:r>
      <w:r w:rsidR="003A331F" w:rsidRPr="00DF1530">
        <w:rPr>
          <w:lang w:val="ru-RU"/>
        </w:rPr>
        <w:t>о</w:t>
      </w:r>
      <w:r w:rsidR="0010795B" w:rsidRPr="00DF1530">
        <w:rPr>
          <w:lang w:val="ru-RU"/>
        </w:rPr>
        <w:t>й</w:t>
      </w:r>
      <w:r w:rsidR="008C7A93" w:rsidRPr="00DF1530">
        <w:rPr>
          <w:lang w:val="ru-RU"/>
        </w:rPr>
        <w:t xml:space="preserve"> </w:t>
      </w:r>
      <w:r w:rsidR="009A2209" w:rsidRPr="00DF1530">
        <w:rPr>
          <w:lang w:val="ru-RU"/>
        </w:rPr>
        <w:t>стратегическ</w:t>
      </w:r>
      <w:r w:rsidR="00074465" w:rsidRPr="00DF1530">
        <w:rPr>
          <w:lang w:val="ru-RU"/>
        </w:rPr>
        <w:t>о</w:t>
      </w:r>
      <w:r w:rsidR="009A2209" w:rsidRPr="00DF1530">
        <w:rPr>
          <w:lang w:val="ru-RU"/>
        </w:rPr>
        <w:t>й</w:t>
      </w:r>
      <w:r w:rsidR="008C7A93" w:rsidRPr="00DF1530">
        <w:rPr>
          <w:lang w:val="ru-RU"/>
        </w:rPr>
        <w:t xml:space="preserve"> </w:t>
      </w:r>
      <w:r w:rsidR="003A331F" w:rsidRPr="00DF1530">
        <w:rPr>
          <w:lang w:val="ru-RU"/>
        </w:rPr>
        <w:t xml:space="preserve">основой подкрепляется также конкурентным </w:t>
      </w:r>
      <w:r w:rsidR="00EB1372" w:rsidRPr="00DF1530">
        <w:rPr>
          <w:lang w:val="ru-RU"/>
        </w:rPr>
        <w:t>механизм</w:t>
      </w:r>
      <w:r w:rsidR="003A331F" w:rsidRPr="00DF1530">
        <w:rPr>
          <w:lang w:val="ru-RU"/>
        </w:rPr>
        <w:t xml:space="preserve">ом </w:t>
      </w:r>
      <w:r w:rsidR="00CC624E" w:rsidRPr="00DF1530">
        <w:rPr>
          <w:lang w:val="ru-RU"/>
        </w:rPr>
        <w:t>совместного финансирования</w:t>
      </w:r>
      <w:r w:rsidR="008C7A93" w:rsidRPr="00DF1530">
        <w:rPr>
          <w:lang w:val="ru-RU"/>
        </w:rPr>
        <w:t xml:space="preserve"> </w:t>
      </w:r>
      <w:r w:rsidR="00C54E38" w:rsidRPr="00DF1530">
        <w:rPr>
          <w:lang w:val="ru-RU"/>
        </w:rPr>
        <w:t>между</w:t>
      </w:r>
      <w:r w:rsidR="008C7A93" w:rsidRPr="00DF1530">
        <w:rPr>
          <w:lang w:val="ru-RU"/>
        </w:rPr>
        <w:t xml:space="preserve"> </w:t>
      </w:r>
      <w:r w:rsidR="00EB1372" w:rsidRPr="00DF1530">
        <w:rPr>
          <w:lang w:val="ru-RU"/>
        </w:rPr>
        <w:t>федеральны</w:t>
      </w:r>
      <w:r w:rsidR="003A331F" w:rsidRPr="00DF1530">
        <w:rPr>
          <w:lang w:val="ru-RU"/>
        </w:rPr>
        <w:t>м</w:t>
      </w:r>
      <w:r w:rsidR="008C7A93" w:rsidRPr="00DF1530">
        <w:rPr>
          <w:lang w:val="ru-RU"/>
        </w:rPr>
        <w:t xml:space="preserve"> </w:t>
      </w:r>
      <w:r w:rsidR="003A331F" w:rsidRPr="00DF1530">
        <w:rPr>
          <w:lang w:val="ru-RU"/>
        </w:rPr>
        <w:t xml:space="preserve">и </w:t>
      </w:r>
      <w:r w:rsidR="000855A8" w:rsidRPr="00DF1530">
        <w:rPr>
          <w:lang w:val="ru-RU"/>
        </w:rPr>
        <w:t>региональны</w:t>
      </w:r>
      <w:r w:rsidR="003A331F" w:rsidRPr="00DF1530">
        <w:rPr>
          <w:lang w:val="ru-RU"/>
        </w:rPr>
        <w:t>ми</w:t>
      </w:r>
      <w:r w:rsidR="008C7A93" w:rsidRPr="00DF1530">
        <w:rPr>
          <w:lang w:val="ru-RU"/>
        </w:rPr>
        <w:t xml:space="preserve"> </w:t>
      </w:r>
      <w:r w:rsidR="00AD05F1" w:rsidRPr="00DF1530">
        <w:rPr>
          <w:lang w:val="ru-RU"/>
        </w:rPr>
        <w:t>правительства</w:t>
      </w:r>
      <w:r w:rsidR="003A331F" w:rsidRPr="00DF1530">
        <w:rPr>
          <w:lang w:val="ru-RU"/>
        </w:rPr>
        <w:t>ми</w:t>
      </w:r>
      <w:r w:rsidR="008C7A93" w:rsidRPr="00DF1530">
        <w:rPr>
          <w:lang w:val="ru-RU"/>
        </w:rPr>
        <w:t xml:space="preserve">, </w:t>
      </w:r>
      <w:r w:rsidR="003A331F" w:rsidRPr="00DF1530">
        <w:rPr>
          <w:lang w:val="ru-RU"/>
        </w:rPr>
        <w:t xml:space="preserve">что помогает привести </w:t>
      </w:r>
      <w:r w:rsidR="000855A8" w:rsidRPr="00DF1530">
        <w:rPr>
          <w:lang w:val="ru-RU"/>
        </w:rPr>
        <w:t>региональные</w:t>
      </w:r>
      <w:r w:rsidR="008C7A93" w:rsidRPr="00DF1530">
        <w:rPr>
          <w:lang w:val="ru-RU"/>
        </w:rPr>
        <w:t xml:space="preserve"> </w:t>
      </w:r>
      <w:r w:rsidR="003A331F" w:rsidRPr="00DF1530">
        <w:rPr>
          <w:lang w:val="ru-RU"/>
        </w:rPr>
        <w:t xml:space="preserve">и </w:t>
      </w:r>
      <w:r w:rsidR="00AD05F1" w:rsidRPr="00DF1530">
        <w:rPr>
          <w:lang w:val="ru-RU"/>
        </w:rPr>
        <w:t>муниципальны</w:t>
      </w:r>
      <w:r w:rsidR="003A331F" w:rsidRPr="00DF1530">
        <w:rPr>
          <w:lang w:val="ru-RU"/>
        </w:rPr>
        <w:t>е</w:t>
      </w:r>
      <w:r w:rsidR="008C7A93" w:rsidRPr="00DF1530">
        <w:rPr>
          <w:lang w:val="ru-RU"/>
        </w:rPr>
        <w:t xml:space="preserve"> </w:t>
      </w:r>
      <w:r w:rsidR="003A331F" w:rsidRPr="00DF1530">
        <w:rPr>
          <w:lang w:val="ru-RU"/>
        </w:rPr>
        <w:t xml:space="preserve">меры в соответствие с </w:t>
      </w:r>
      <w:r w:rsidR="0010795B" w:rsidRPr="00DF1530">
        <w:rPr>
          <w:lang w:val="ru-RU"/>
        </w:rPr>
        <w:t>национальны</w:t>
      </w:r>
      <w:r w:rsidR="003A331F" w:rsidRPr="00DF1530">
        <w:rPr>
          <w:lang w:val="ru-RU"/>
        </w:rPr>
        <w:t>ми</w:t>
      </w:r>
      <w:r w:rsidR="008C7A93" w:rsidRPr="00DF1530">
        <w:rPr>
          <w:lang w:val="ru-RU"/>
        </w:rPr>
        <w:t xml:space="preserve"> </w:t>
      </w:r>
      <w:r w:rsidR="003A331F" w:rsidRPr="00DF1530">
        <w:rPr>
          <w:lang w:val="ru-RU"/>
        </w:rPr>
        <w:t xml:space="preserve">приоритетами по совместно поддерживаемым </w:t>
      </w:r>
      <w:r w:rsidR="0023536F" w:rsidRPr="00DF1530">
        <w:rPr>
          <w:lang w:val="ru-RU"/>
        </w:rPr>
        <w:t>программ</w:t>
      </w:r>
      <w:r w:rsidR="003A331F" w:rsidRPr="00DF1530">
        <w:rPr>
          <w:lang w:val="ru-RU"/>
        </w:rPr>
        <w:t>ам</w:t>
      </w:r>
      <w:r w:rsidR="008C7A93" w:rsidRPr="00DF1530">
        <w:rPr>
          <w:lang w:val="ru-RU"/>
        </w:rPr>
        <w:t xml:space="preserve">. </w:t>
      </w:r>
      <w:r w:rsidR="007C68D2" w:rsidRPr="00DF1530">
        <w:rPr>
          <w:lang w:val="ru-RU"/>
        </w:rPr>
        <w:t>Однако</w:t>
      </w:r>
      <w:r w:rsidR="00494226" w:rsidRPr="00DF1530">
        <w:rPr>
          <w:lang w:val="ru-RU"/>
        </w:rPr>
        <w:t xml:space="preserve"> объем диалога в области политики при разработке </w:t>
      </w:r>
      <w:r w:rsidR="00EB1372" w:rsidRPr="00DF1530">
        <w:rPr>
          <w:lang w:val="ru-RU"/>
        </w:rPr>
        <w:t>федеральн</w:t>
      </w:r>
      <w:r w:rsidR="00494226" w:rsidRPr="00DF1530">
        <w:rPr>
          <w:lang w:val="ru-RU"/>
        </w:rPr>
        <w:t>о</w:t>
      </w:r>
      <w:r w:rsidR="00EB1372" w:rsidRPr="00DF1530">
        <w:rPr>
          <w:lang w:val="ru-RU"/>
        </w:rPr>
        <w:t>й</w:t>
      </w:r>
      <w:r w:rsidR="008C7A93" w:rsidRPr="00DF1530">
        <w:rPr>
          <w:lang w:val="ru-RU"/>
        </w:rPr>
        <w:t xml:space="preserve"> </w:t>
      </w:r>
      <w:r w:rsidR="00494226" w:rsidRPr="00DF1530">
        <w:rPr>
          <w:lang w:val="ru-RU"/>
        </w:rPr>
        <w:t xml:space="preserve">и местной политики отличается для разных </w:t>
      </w:r>
      <w:r w:rsidR="004750CA" w:rsidRPr="00DF1530">
        <w:rPr>
          <w:lang w:val="ru-RU"/>
        </w:rPr>
        <w:t>регион</w:t>
      </w:r>
      <w:r w:rsidR="00494226" w:rsidRPr="00DF1530">
        <w:rPr>
          <w:lang w:val="ru-RU"/>
        </w:rPr>
        <w:t>ов</w:t>
      </w:r>
      <w:r w:rsidR="008C7A93" w:rsidRPr="00DF1530">
        <w:rPr>
          <w:lang w:val="ru-RU"/>
        </w:rPr>
        <w:t xml:space="preserve">. </w:t>
      </w:r>
      <w:r w:rsidR="00F736B7" w:rsidRPr="00DF1530">
        <w:rPr>
          <w:lang w:val="ru-RU"/>
        </w:rPr>
        <w:t>В частности</w:t>
      </w:r>
      <w:r w:rsidR="008C7A93" w:rsidRPr="00DF1530">
        <w:rPr>
          <w:lang w:val="ru-RU"/>
        </w:rPr>
        <w:t xml:space="preserve">, </w:t>
      </w:r>
      <w:r w:rsidR="00494226" w:rsidRPr="00DF1530">
        <w:rPr>
          <w:lang w:val="ru-RU"/>
        </w:rPr>
        <w:t xml:space="preserve">более активное предварительное обсуждение с </w:t>
      </w:r>
      <w:r w:rsidR="00EB1372" w:rsidRPr="00DF1530">
        <w:rPr>
          <w:lang w:val="ru-RU"/>
        </w:rPr>
        <w:t>федеральны</w:t>
      </w:r>
      <w:r w:rsidR="00494226" w:rsidRPr="00DF1530">
        <w:rPr>
          <w:lang w:val="ru-RU"/>
        </w:rPr>
        <w:t>м</w:t>
      </w:r>
      <w:r w:rsidR="008C7A93" w:rsidRPr="00DF1530">
        <w:rPr>
          <w:lang w:val="ru-RU"/>
        </w:rPr>
        <w:t xml:space="preserve"> </w:t>
      </w:r>
      <w:r w:rsidR="00CD71D1" w:rsidRPr="00DF1530">
        <w:rPr>
          <w:lang w:val="ru-RU"/>
        </w:rPr>
        <w:t>правительство</w:t>
      </w:r>
      <w:r w:rsidR="00494226" w:rsidRPr="00DF1530">
        <w:rPr>
          <w:lang w:val="ru-RU"/>
        </w:rPr>
        <w:t>м</w:t>
      </w:r>
      <w:r w:rsidR="008C7A93" w:rsidRPr="00DF1530">
        <w:rPr>
          <w:lang w:val="ru-RU"/>
        </w:rPr>
        <w:t xml:space="preserve"> </w:t>
      </w:r>
      <w:r w:rsidR="00494226" w:rsidRPr="00DF1530">
        <w:rPr>
          <w:lang w:val="ru-RU"/>
        </w:rPr>
        <w:t xml:space="preserve">требуется для </w:t>
      </w:r>
      <w:r w:rsidR="004750CA" w:rsidRPr="00DF1530">
        <w:rPr>
          <w:lang w:val="ru-RU"/>
        </w:rPr>
        <w:t>регион</w:t>
      </w:r>
      <w:r w:rsidR="00494226" w:rsidRPr="00DF1530">
        <w:rPr>
          <w:lang w:val="ru-RU"/>
        </w:rPr>
        <w:t>ов</w:t>
      </w:r>
      <w:r w:rsidR="008C7A93" w:rsidRPr="00DF1530">
        <w:rPr>
          <w:lang w:val="ru-RU"/>
        </w:rPr>
        <w:t xml:space="preserve"> </w:t>
      </w:r>
      <w:r w:rsidR="00494226" w:rsidRPr="00DF1530">
        <w:rPr>
          <w:lang w:val="ru-RU"/>
        </w:rPr>
        <w:t xml:space="preserve">с более ограниченными мерами в области </w:t>
      </w:r>
      <w:r w:rsidR="00EB1372" w:rsidRPr="00DF1530">
        <w:rPr>
          <w:lang w:val="ru-RU"/>
        </w:rPr>
        <w:t>политик</w:t>
      </w:r>
      <w:r w:rsidR="00494226" w:rsidRPr="00DF1530">
        <w:rPr>
          <w:lang w:val="ru-RU"/>
        </w:rPr>
        <w:t>и</w:t>
      </w:r>
      <w:r w:rsidR="00EB1372" w:rsidRPr="00DF1530">
        <w:rPr>
          <w:lang w:val="ru-RU"/>
        </w:rPr>
        <w:t xml:space="preserve"> по МСП и предпринимательской деятельности</w:t>
      </w:r>
      <w:r w:rsidR="008C7A93" w:rsidRPr="00DF1530">
        <w:rPr>
          <w:lang w:val="ru-RU"/>
        </w:rPr>
        <w:t xml:space="preserve">. </w:t>
      </w:r>
    </w:p>
    <w:p w:rsidR="008C7A93" w:rsidRPr="00DF1530" w:rsidRDefault="00533D94" w:rsidP="008C7A93">
      <w:pPr>
        <w:pStyle w:val="31"/>
        <w:rPr>
          <w:lang w:val="ru-RU"/>
        </w:rPr>
      </w:pPr>
      <w:r w:rsidRPr="00DF1530">
        <w:rPr>
          <w:lang w:val="ru-RU"/>
        </w:rPr>
        <w:t>Основные рекомендации в области политики</w:t>
      </w:r>
      <w:r w:rsidR="008C7A93" w:rsidRPr="00DF1530">
        <w:rPr>
          <w:lang w:val="ru-RU"/>
        </w:rPr>
        <w:t xml:space="preserve"> </w:t>
      </w:r>
      <w:r w:rsidR="002A5CF7" w:rsidRPr="00DF1530">
        <w:rPr>
          <w:lang w:val="ru-RU"/>
        </w:rPr>
        <w:t xml:space="preserve">для </w:t>
      </w:r>
      <w:r w:rsidR="00EB1372" w:rsidRPr="00DF1530">
        <w:rPr>
          <w:lang w:val="ru-RU"/>
        </w:rPr>
        <w:t>федеральн</w:t>
      </w:r>
      <w:r w:rsidR="002A5CF7" w:rsidRPr="00DF1530">
        <w:rPr>
          <w:lang w:val="ru-RU"/>
        </w:rPr>
        <w:t>ого</w:t>
      </w:r>
      <w:r w:rsidR="008C7A93" w:rsidRPr="00DF1530">
        <w:rPr>
          <w:lang w:val="ru-RU"/>
        </w:rPr>
        <w:t xml:space="preserve"> </w:t>
      </w:r>
      <w:r w:rsidR="00CD71D1" w:rsidRPr="00DF1530">
        <w:rPr>
          <w:lang w:val="ru-RU"/>
        </w:rPr>
        <w:t>правительств</w:t>
      </w:r>
      <w:r w:rsidR="002A5CF7" w:rsidRPr="00DF1530">
        <w:rPr>
          <w:lang w:val="ru-RU"/>
        </w:rPr>
        <w:t>а</w:t>
      </w:r>
      <w:r w:rsidR="008C7A93" w:rsidRPr="00DF1530">
        <w:rPr>
          <w:lang w:val="ru-RU"/>
        </w:rPr>
        <w:t xml:space="preserve"> </w:t>
      </w:r>
      <w:r w:rsidR="002A5CF7" w:rsidRPr="00DF1530">
        <w:rPr>
          <w:lang w:val="ru-RU"/>
        </w:rPr>
        <w:t xml:space="preserve">в отношении местных мер в области </w:t>
      </w:r>
      <w:r w:rsidR="00EB1372" w:rsidRPr="00DF1530">
        <w:rPr>
          <w:lang w:val="ru-RU"/>
        </w:rPr>
        <w:t>политики по МСП и предпринимательской деятельности</w:t>
      </w:r>
      <w:r w:rsidR="008C7A93" w:rsidRPr="00DF1530">
        <w:rPr>
          <w:lang w:val="ru-RU"/>
        </w:rPr>
        <w:t xml:space="preserve"> </w:t>
      </w:r>
    </w:p>
    <w:p w:rsidR="008C7A93" w:rsidRPr="00DF1530" w:rsidRDefault="009344E9" w:rsidP="008C7A93">
      <w:pPr>
        <w:pStyle w:val="a"/>
        <w:rPr>
          <w:lang w:val="ru-RU"/>
        </w:rPr>
      </w:pPr>
      <w:r w:rsidRPr="00DF1530">
        <w:rPr>
          <w:lang w:val="ru-RU"/>
        </w:rPr>
        <w:t xml:space="preserve">Призвать все </w:t>
      </w:r>
      <w:r w:rsidR="000855A8" w:rsidRPr="00DF1530">
        <w:rPr>
          <w:lang w:val="ru-RU"/>
        </w:rPr>
        <w:t>региональные</w:t>
      </w:r>
      <w:r w:rsidR="008C7A93" w:rsidRPr="00DF1530">
        <w:rPr>
          <w:lang w:val="ru-RU"/>
        </w:rPr>
        <w:t xml:space="preserve"> </w:t>
      </w:r>
      <w:r w:rsidRPr="00DF1530">
        <w:rPr>
          <w:lang w:val="ru-RU"/>
        </w:rPr>
        <w:t xml:space="preserve">и </w:t>
      </w:r>
      <w:r w:rsidR="00AD05F1" w:rsidRPr="00DF1530">
        <w:rPr>
          <w:lang w:val="ru-RU"/>
        </w:rPr>
        <w:t>муниципальны</w:t>
      </w:r>
      <w:r w:rsidRPr="00DF1530">
        <w:rPr>
          <w:lang w:val="ru-RU"/>
        </w:rPr>
        <w:t>е</w:t>
      </w:r>
      <w:r w:rsidR="008C7A93" w:rsidRPr="00DF1530">
        <w:rPr>
          <w:lang w:val="ru-RU"/>
        </w:rPr>
        <w:t xml:space="preserve"> </w:t>
      </w:r>
      <w:r w:rsidRPr="00DF1530">
        <w:rPr>
          <w:lang w:val="ru-RU"/>
        </w:rPr>
        <w:t xml:space="preserve">органы сделать приоритетным развитие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Pr="00DF1530">
        <w:rPr>
          <w:lang w:val="ru-RU"/>
        </w:rPr>
        <w:t xml:space="preserve">посредством специальных </w:t>
      </w:r>
      <w:r w:rsidR="0023536F" w:rsidRPr="00DF1530">
        <w:rPr>
          <w:lang w:val="ru-RU"/>
        </w:rPr>
        <w:t>программ</w:t>
      </w:r>
      <w:r w:rsidR="008C7A93" w:rsidRPr="00DF1530">
        <w:rPr>
          <w:lang w:val="ru-RU"/>
        </w:rPr>
        <w:t xml:space="preserve"> </w:t>
      </w:r>
      <w:r w:rsidRPr="00DF1530">
        <w:rPr>
          <w:lang w:val="ru-RU"/>
        </w:rPr>
        <w:t xml:space="preserve">с </w:t>
      </w:r>
      <w:r w:rsidR="00E57A1C" w:rsidRPr="00DF1530">
        <w:rPr>
          <w:lang w:val="ru-RU"/>
        </w:rPr>
        <w:t>соответствующи</w:t>
      </w:r>
      <w:r w:rsidRPr="00DF1530">
        <w:rPr>
          <w:lang w:val="ru-RU"/>
        </w:rPr>
        <w:t>м</w:t>
      </w:r>
      <w:r w:rsidR="008C7A93" w:rsidRPr="00DF1530">
        <w:rPr>
          <w:lang w:val="ru-RU"/>
        </w:rPr>
        <w:t xml:space="preserve"> </w:t>
      </w:r>
      <w:r w:rsidRPr="00DF1530">
        <w:rPr>
          <w:lang w:val="ru-RU"/>
        </w:rPr>
        <w:t>местным финансированием</w:t>
      </w:r>
      <w:r w:rsidR="008C7A93" w:rsidRPr="00DF1530">
        <w:rPr>
          <w:lang w:val="ru-RU"/>
        </w:rPr>
        <w:t xml:space="preserve">.  </w:t>
      </w:r>
    </w:p>
    <w:p w:rsidR="008C7A93" w:rsidRPr="00DF1530" w:rsidRDefault="009344E9" w:rsidP="008C7A93">
      <w:pPr>
        <w:pStyle w:val="a"/>
        <w:rPr>
          <w:lang w:val="ru-RU"/>
        </w:rPr>
      </w:pPr>
      <w:r w:rsidRPr="00DF1530">
        <w:rPr>
          <w:lang w:val="ru-RU"/>
        </w:rPr>
        <w:lastRenderedPageBreak/>
        <w:t xml:space="preserve">Принять </w:t>
      </w:r>
      <w:r w:rsidR="00EB1372" w:rsidRPr="00DF1530">
        <w:rPr>
          <w:lang w:val="ru-RU"/>
        </w:rPr>
        <w:t>федеральн</w:t>
      </w:r>
      <w:r w:rsidRPr="00DF1530">
        <w:rPr>
          <w:lang w:val="ru-RU"/>
        </w:rPr>
        <w:t xml:space="preserve">ую стратегию развития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r w:rsidR="00C54E38" w:rsidRPr="00DF1530">
        <w:rPr>
          <w:lang w:val="ru-RU"/>
        </w:rPr>
        <w:t>в сельских районах</w:t>
      </w:r>
      <w:r w:rsidR="008C7A93" w:rsidRPr="00DF1530">
        <w:rPr>
          <w:lang w:val="ru-RU"/>
        </w:rPr>
        <w:t xml:space="preserve">. </w:t>
      </w:r>
    </w:p>
    <w:p w:rsidR="008C7A93" w:rsidRPr="00DF1530" w:rsidRDefault="009344E9" w:rsidP="008C7A93">
      <w:pPr>
        <w:pStyle w:val="a"/>
        <w:rPr>
          <w:lang w:val="ru-RU"/>
        </w:rPr>
      </w:pPr>
      <w:r w:rsidRPr="00DF1530">
        <w:rPr>
          <w:lang w:val="ru-RU"/>
        </w:rPr>
        <w:t xml:space="preserve">Обеспечить </w:t>
      </w:r>
      <w:r w:rsidR="00E57A1C" w:rsidRPr="00DF1530">
        <w:rPr>
          <w:lang w:val="ru-RU"/>
        </w:rPr>
        <w:t>поддержк</w:t>
      </w:r>
      <w:r w:rsidRPr="00DF1530">
        <w:rPr>
          <w:lang w:val="ru-RU"/>
        </w:rPr>
        <w:t>у наращивания потенциала</w:t>
      </w:r>
      <w:r w:rsidR="008C7A93" w:rsidRPr="00DF1530">
        <w:rPr>
          <w:lang w:val="ru-RU"/>
        </w:rPr>
        <w:t xml:space="preserve"> </w:t>
      </w:r>
      <w:r w:rsidRPr="00DF1530">
        <w:rPr>
          <w:lang w:val="ru-RU"/>
        </w:rPr>
        <w:t xml:space="preserve">для укрепления процесса разработки и реализации </w:t>
      </w:r>
      <w:r w:rsidR="000855A8" w:rsidRPr="00DF1530">
        <w:rPr>
          <w:lang w:val="ru-RU"/>
        </w:rPr>
        <w:t>региональны</w:t>
      </w:r>
      <w:r w:rsidRPr="00DF1530">
        <w:rPr>
          <w:lang w:val="ru-RU"/>
        </w:rPr>
        <w:t>х</w:t>
      </w:r>
      <w:r w:rsidR="008C7A93" w:rsidRPr="00DF1530">
        <w:rPr>
          <w:lang w:val="ru-RU"/>
        </w:rPr>
        <w:t xml:space="preserve"> </w:t>
      </w:r>
      <w:r w:rsidRPr="00DF1530">
        <w:rPr>
          <w:lang w:val="ru-RU"/>
        </w:rPr>
        <w:t xml:space="preserve">стратегий развития МСП и предпринимательской деятельности </w:t>
      </w:r>
      <w:r w:rsidR="00E90EF9" w:rsidRPr="00DF1530">
        <w:rPr>
          <w:lang w:val="ru-RU"/>
        </w:rPr>
        <w:t xml:space="preserve">путем определения </w:t>
      </w:r>
      <w:r w:rsidR="00E57A1C" w:rsidRPr="00DF1530">
        <w:rPr>
          <w:lang w:val="ru-RU"/>
        </w:rPr>
        <w:t>соответствующи</w:t>
      </w:r>
      <w:r w:rsidR="00E90EF9" w:rsidRPr="00DF1530">
        <w:rPr>
          <w:lang w:val="ru-RU"/>
        </w:rPr>
        <w:t>х</w:t>
      </w:r>
      <w:r w:rsidR="008C7A93" w:rsidRPr="00DF1530">
        <w:rPr>
          <w:lang w:val="ru-RU"/>
        </w:rPr>
        <w:t xml:space="preserve"> </w:t>
      </w:r>
      <w:r w:rsidR="00E90EF9" w:rsidRPr="00DF1530">
        <w:rPr>
          <w:lang w:val="ru-RU"/>
        </w:rPr>
        <w:t xml:space="preserve">модулей </w:t>
      </w:r>
      <w:r w:rsidR="00E57A1C" w:rsidRPr="00DF1530">
        <w:rPr>
          <w:lang w:val="ru-RU"/>
        </w:rPr>
        <w:t>поддержк</w:t>
      </w:r>
      <w:r w:rsidR="00E90EF9" w:rsidRPr="00DF1530">
        <w:rPr>
          <w:lang w:val="ru-RU"/>
        </w:rPr>
        <w:t xml:space="preserve">и в области политики для разных типов </w:t>
      </w:r>
      <w:r w:rsidR="004750CA" w:rsidRPr="00DF1530">
        <w:rPr>
          <w:lang w:val="ru-RU"/>
        </w:rPr>
        <w:t>регион</w:t>
      </w:r>
      <w:r w:rsidR="00E90EF9" w:rsidRPr="00DF1530">
        <w:rPr>
          <w:lang w:val="ru-RU"/>
        </w:rPr>
        <w:t>ов</w:t>
      </w:r>
      <w:r w:rsidR="008C7A93" w:rsidRPr="00DF1530">
        <w:rPr>
          <w:lang w:val="ru-RU"/>
        </w:rPr>
        <w:t xml:space="preserve">, </w:t>
      </w:r>
      <w:r w:rsidR="00E90EF9" w:rsidRPr="00DF1530">
        <w:rPr>
          <w:lang w:val="ru-RU"/>
        </w:rPr>
        <w:t>предлагая обучение и форумы для обмена оптимальной практикой по разработке стратегии</w:t>
      </w:r>
      <w:r w:rsidR="008C7A93" w:rsidRPr="00DF1530">
        <w:rPr>
          <w:lang w:val="ru-RU"/>
        </w:rPr>
        <w:t xml:space="preserve">, </w:t>
      </w:r>
      <w:r w:rsidR="00E90EF9" w:rsidRPr="00DF1530">
        <w:rPr>
          <w:lang w:val="ru-RU"/>
        </w:rPr>
        <w:t xml:space="preserve">поощряя создание новых </w:t>
      </w:r>
      <w:r w:rsidR="004F446E" w:rsidRPr="00DF1530">
        <w:rPr>
          <w:lang w:val="ru-RU"/>
        </w:rPr>
        <w:t>министерств</w:t>
      </w:r>
      <w:r w:rsidR="00E90EF9" w:rsidRPr="00DF1530">
        <w:rPr>
          <w:lang w:val="ru-RU"/>
        </w:rPr>
        <w:t xml:space="preserve"> экономического развития</w:t>
      </w:r>
      <w:r w:rsidR="008C7A93" w:rsidRPr="00DF1530">
        <w:rPr>
          <w:lang w:val="ru-RU"/>
        </w:rPr>
        <w:t xml:space="preserve"> </w:t>
      </w:r>
      <w:r w:rsidR="00E90EF9" w:rsidRPr="00DF1530">
        <w:rPr>
          <w:lang w:val="ru-RU"/>
        </w:rPr>
        <w:t xml:space="preserve">в </w:t>
      </w:r>
      <w:r w:rsidR="000855A8" w:rsidRPr="00DF1530">
        <w:rPr>
          <w:lang w:val="ru-RU"/>
        </w:rPr>
        <w:t>региональны</w:t>
      </w:r>
      <w:r w:rsidR="00E90EF9" w:rsidRPr="00DF1530">
        <w:rPr>
          <w:lang w:val="ru-RU"/>
        </w:rPr>
        <w:t>х</w:t>
      </w:r>
      <w:r w:rsidR="008C7A93" w:rsidRPr="00DF1530">
        <w:rPr>
          <w:lang w:val="ru-RU"/>
        </w:rPr>
        <w:t xml:space="preserve"> </w:t>
      </w:r>
      <w:r w:rsidR="00AD05F1" w:rsidRPr="00DF1530">
        <w:rPr>
          <w:lang w:val="ru-RU"/>
        </w:rPr>
        <w:t>правительства</w:t>
      </w:r>
      <w:r w:rsidR="00E90EF9" w:rsidRPr="00DF1530">
        <w:rPr>
          <w:lang w:val="ru-RU"/>
        </w:rPr>
        <w:t>х</w:t>
      </w:r>
      <w:r w:rsidR="008C7A93" w:rsidRPr="00DF1530">
        <w:rPr>
          <w:lang w:val="ru-RU"/>
        </w:rPr>
        <w:t xml:space="preserve"> </w:t>
      </w:r>
      <w:r w:rsidR="00E90EF9" w:rsidRPr="00DF1530">
        <w:rPr>
          <w:lang w:val="ru-RU"/>
        </w:rPr>
        <w:t xml:space="preserve">и предоставляя инструктаж и обучение по контролю и оценке на </w:t>
      </w:r>
      <w:r w:rsidR="000855A8" w:rsidRPr="00DF1530">
        <w:rPr>
          <w:lang w:val="ru-RU"/>
        </w:rPr>
        <w:t>региональны</w:t>
      </w:r>
      <w:r w:rsidR="00E90EF9" w:rsidRPr="00DF1530">
        <w:rPr>
          <w:lang w:val="ru-RU"/>
        </w:rPr>
        <w:t>х</w:t>
      </w:r>
      <w:r w:rsidR="008C7A93" w:rsidRPr="00DF1530">
        <w:rPr>
          <w:lang w:val="ru-RU"/>
        </w:rPr>
        <w:t xml:space="preserve"> </w:t>
      </w:r>
      <w:r w:rsidR="00E90EF9" w:rsidRPr="00DF1530">
        <w:rPr>
          <w:lang w:val="ru-RU"/>
        </w:rPr>
        <w:t xml:space="preserve">и </w:t>
      </w:r>
      <w:r w:rsidR="00AD05F1" w:rsidRPr="00DF1530">
        <w:rPr>
          <w:lang w:val="ru-RU"/>
        </w:rPr>
        <w:t>муниципальны</w:t>
      </w:r>
      <w:r w:rsidR="00E90EF9" w:rsidRPr="00DF1530">
        <w:rPr>
          <w:lang w:val="ru-RU"/>
        </w:rPr>
        <w:t>х</w:t>
      </w:r>
      <w:r w:rsidR="008C7A93" w:rsidRPr="00DF1530">
        <w:rPr>
          <w:lang w:val="ru-RU"/>
        </w:rPr>
        <w:t xml:space="preserve"> </w:t>
      </w:r>
      <w:r w:rsidR="00AD05F1" w:rsidRPr="00DF1530">
        <w:rPr>
          <w:lang w:val="ru-RU"/>
        </w:rPr>
        <w:t>уровн</w:t>
      </w:r>
      <w:r w:rsidR="00E90EF9" w:rsidRPr="00DF1530">
        <w:rPr>
          <w:lang w:val="ru-RU"/>
        </w:rPr>
        <w:t>ях</w:t>
      </w:r>
      <w:r w:rsidR="008C7A93" w:rsidRPr="00DF1530">
        <w:rPr>
          <w:lang w:val="ru-RU"/>
        </w:rPr>
        <w:t xml:space="preserve">. </w:t>
      </w:r>
    </w:p>
    <w:p w:rsidR="008C7A93" w:rsidRPr="00DF1530" w:rsidRDefault="00E90EF9" w:rsidP="008C7A93">
      <w:pPr>
        <w:pStyle w:val="a"/>
        <w:rPr>
          <w:lang w:val="ru-RU"/>
        </w:rPr>
      </w:pPr>
      <w:r w:rsidRPr="00DF1530">
        <w:rPr>
          <w:lang w:val="ru-RU"/>
        </w:rPr>
        <w:t xml:space="preserve">Предоставлять </w:t>
      </w:r>
      <w:r w:rsidR="0023536F" w:rsidRPr="00DF1530">
        <w:rPr>
          <w:lang w:val="ru-RU"/>
        </w:rPr>
        <w:t>информаци</w:t>
      </w:r>
      <w:r w:rsidRPr="00DF1530">
        <w:rPr>
          <w:lang w:val="ru-RU"/>
        </w:rPr>
        <w:t>ю по оптимальной практике</w:t>
      </w:r>
      <w:r w:rsidR="008C7A93" w:rsidRPr="00DF1530">
        <w:rPr>
          <w:lang w:val="ru-RU"/>
        </w:rPr>
        <w:t xml:space="preserve"> </w:t>
      </w:r>
      <w:r w:rsidRPr="00DF1530">
        <w:rPr>
          <w:lang w:val="ru-RU"/>
        </w:rPr>
        <w:t xml:space="preserve">и </w:t>
      </w:r>
      <w:r w:rsidR="0047268B" w:rsidRPr="00DF1530">
        <w:rPr>
          <w:lang w:val="ru-RU"/>
        </w:rPr>
        <w:t>возможности</w:t>
      </w:r>
      <w:r w:rsidR="008C7A93" w:rsidRPr="00DF1530">
        <w:rPr>
          <w:lang w:val="ru-RU"/>
        </w:rPr>
        <w:t xml:space="preserve"> </w:t>
      </w:r>
      <w:r w:rsidRPr="00DF1530">
        <w:rPr>
          <w:lang w:val="ru-RU"/>
        </w:rPr>
        <w:t>для обучения совершенствованию регулирования предпринимательской деятельности на региональных и муниципальных уровнях</w:t>
      </w:r>
      <w:r w:rsidR="008C7A93" w:rsidRPr="00DF1530">
        <w:rPr>
          <w:lang w:val="ru-RU"/>
        </w:rPr>
        <w:t>.</w:t>
      </w:r>
    </w:p>
    <w:p w:rsidR="008C7A93" w:rsidRPr="00DF1530" w:rsidRDefault="00E90EF9" w:rsidP="008C7A93">
      <w:pPr>
        <w:pStyle w:val="a"/>
        <w:rPr>
          <w:lang w:val="ru-RU"/>
        </w:rPr>
      </w:pPr>
      <w:r w:rsidRPr="00DF1530">
        <w:rPr>
          <w:lang w:val="ru-RU"/>
        </w:rPr>
        <w:t xml:space="preserve">После создания </w:t>
      </w:r>
      <w:r w:rsidR="00E57A1C" w:rsidRPr="00DF1530">
        <w:rPr>
          <w:lang w:val="ru-RU"/>
        </w:rPr>
        <w:t>соответствующи</w:t>
      </w:r>
      <w:r w:rsidRPr="00DF1530">
        <w:rPr>
          <w:lang w:val="ru-RU"/>
        </w:rPr>
        <w:t>х</w:t>
      </w:r>
      <w:r w:rsidR="008C7A93" w:rsidRPr="00DF1530">
        <w:rPr>
          <w:lang w:val="ru-RU"/>
        </w:rPr>
        <w:t xml:space="preserve"> </w:t>
      </w:r>
      <w:r w:rsidR="008F2340" w:rsidRPr="00DF1530">
        <w:rPr>
          <w:lang w:val="ru-RU"/>
        </w:rPr>
        <w:t>системны</w:t>
      </w:r>
      <w:r w:rsidRPr="00DF1530">
        <w:rPr>
          <w:lang w:val="ru-RU"/>
        </w:rPr>
        <w:t>х</w:t>
      </w:r>
      <w:r w:rsidR="008F2340" w:rsidRPr="00DF1530">
        <w:rPr>
          <w:lang w:val="ru-RU"/>
        </w:rPr>
        <w:t xml:space="preserve"> услови</w:t>
      </w:r>
      <w:r w:rsidRPr="00DF1530">
        <w:rPr>
          <w:lang w:val="ru-RU"/>
        </w:rPr>
        <w:t>й</w:t>
      </w:r>
      <w:r w:rsidR="008C7A93" w:rsidRPr="00DF1530">
        <w:rPr>
          <w:lang w:val="ru-RU"/>
        </w:rPr>
        <w:t xml:space="preserve"> </w:t>
      </w:r>
      <w:r w:rsidRPr="00DF1530">
        <w:rPr>
          <w:lang w:val="ru-RU"/>
        </w:rPr>
        <w:t xml:space="preserve">и правовых гарантий поощрять </w:t>
      </w:r>
      <w:r w:rsidR="00D3769A" w:rsidRPr="00DF1530">
        <w:rPr>
          <w:lang w:val="ru-RU"/>
        </w:rPr>
        <w:t>инновации</w:t>
      </w:r>
      <w:r w:rsidR="008C7A93" w:rsidRPr="00DF1530">
        <w:rPr>
          <w:lang w:val="ru-RU"/>
        </w:rPr>
        <w:t xml:space="preserve"> </w:t>
      </w:r>
      <w:r w:rsidRPr="00DF1530">
        <w:rPr>
          <w:lang w:val="ru-RU"/>
        </w:rPr>
        <w:t xml:space="preserve">в практике государственных закупок </w:t>
      </w:r>
      <w:r w:rsidR="000855A8" w:rsidRPr="00DF1530">
        <w:rPr>
          <w:lang w:val="ru-RU"/>
        </w:rPr>
        <w:t>региональны</w:t>
      </w:r>
      <w:r w:rsidRPr="00DF1530">
        <w:rPr>
          <w:lang w:val="ru-RU"/>
        </w:rPr>
        <w:t xml:space="preserve">х и </w:t>
      </w:r>
      <w:r w:rsidR="00AD05F1" w:rsidRPr="00DF1530">
        <w:rPr>
          <w:lang w:val="ru-RU"/>
        </w:rPr>
        <w:t>муниципальны</w:t>
      </w:r>
      <w:r w:rsidRPr="00DF1530">
        <w:rPr>
          <w:lang w:val="ru-RU"/>
        </w:rPr>
        <w:t>х</w:t>
      </w:r>
      <w:r w:rsidR="008C7A93" w:rsidRPr="00DF1530">
        <w:rPr>
          <w:lang w:val="ru-RU"/>
        </w:rPr>
        <w:t xml:space="preserve"> </w:t>
      </w:r>
      <w:r w:rsidRPr="00DF1530">
        <w:rPr>
          <w:lang w:val="ru-RU"/>
        </w:rPr>
        <w:t xml:space="preserve">органов для развития </w:t>
      </w:r>
      <w:r w:rsidR="003F5CB4" w:rsidRPr="00DF1530">
        <w:rPr>
          <w:lang w:val="ru-RU"/>
        </w:rPr>
        <w:t>МСП и предпринимательск</w:t>
      </w:r>
      <w:r w:rsidRPr="00DF1530">
        <w:rPr>
          <w:lang w:val="ru-RU"/>
        </w:rPr>
        <w:t>ой</w:t>
      </w:r>
      <w:r w:rsidR="003F5CB4" w:rsidRPr="00DF1530">
        <w:rPr>
          <w:lang w:val="ru-RU"/>
        </w:rPr>
        <w:t xml:space="preserve"> деятельност</w:t>
      </w:r>
      <w:r w:rsidRPr="00DF1530">
        <w:rPr>
          <w:lang w:val="ru-RU"/>
        </w:rPr>
        <w:t>и</w:t>
      </w:r>
      <w:r w:rsidR="008C7A93" w:rsidRPr="00DF1530">
        <w:rPr>
          <w:lang w:val="ru-RU"/>
        </w:rPr>
        <w:t xml:space="preserve">.   </w:t>
      </w:r>
    </w:p>
    <w:p w:rsidR="008C7A93" w:rsidRPr="00DF1530" w:rsidRDefault="006B303A" w:rsidP="008C7A93">
      <w:pPr>
        <w:pStyle w:val="a"/>
        <w:rPr>
          <w:lang w:val="ru-RU"/>
        </w:rPr>
      </w:pPr>
      <w:r w:rsidRPr="00DF1530">
        <w:rPr>
          <w:lang w:val="ru-RU"/>
        </w:rPr>
        <w:t xml:space="preserve">Расширить участие </w:t>
      </w:r>
      <w:r w:rsidR="000855A8" w:rsidRPr="00DF1530">
        <w:rPr>
          <w:lang w:val="ru-RU"/>
        </w:rPr>
        <w:t>региональны</w:t>
      </w:r>
      <w:r w:rsidRPr="00DF1530">
        <w:rPr>
          <w:lang w:val="ru-RU"/>
        </w:rPr>
        <w:t>х</w:t>
      </w:r>
      <w:r w:rsidR="008C7A93" w:rsidRPr="00DF1530">
        <w:rPr>
          <w:lang w:val="ru-RU"/>
        </w:rPr>
        <w:t xml:space="preserve"> </w:t>
      </w:r>
      <w:r w:rsidR="00CD71D1" w:rsidRPr="00DF1530">
        <w:rPr>
          <w:lang w:val="ru-RU"/>
        </w:rPr>
        <w:t>правительств</w:t>
      </w:r>
      <w:r w:rsidR="008C7A93" w:rsidRPr="00DF1530">
        <w:rPr>
          <w:lang w:val="ru-RU"/>
        </w:rPr>
        <w:t xml:space="preserve"> </w:t>
      </w:r>
      <w:r w:rsidRPr="00DF1530">
        <w:rPr>
          <w:lang w:val="ru-RU"/>
        </w:rPr>
        <w:t xml:space="preserve">в </w:t>
      </w:r>
      <w:r w:rsidR="00BA1F08" w:rsidRPr="00DF1530">
        <w:rPr>
          <w:lang w:val="ru-RU"/>
        </w:rPr>
        <w:t>федеральн</w:t>
      </w:r>
      <w:r w:rsidRPr="00DF1530">
        <w:rPr>
          <w:lang w:val="ru-RU"/>
        </w:rPr>
        <w:t>ой</w:t>
      </w:r>
      <w:r w:rsidR="00BA1F08" w:rsidRPr="00DF1530">
        <w:rPr>
          <w:lang w:val="ru-RU"/>
        </w:rPr>
        <w:t xml:space="preserve"> программ</w:t>
      </w:r>
      <w:r w:rsidRPr="00DF1530">
        <w:rPr>
          <w:lang w:val="ru-RU"/>
        </w:rPr>
        <w:t>е</w:t>
      </w:r>
      <w:r w:rsidR="00BA1F08" w:rsidRPr="00DF1530">
        <w:rPr>
          <w:lang w:val="ru-RU"/>
        </w:rPr>
        <w:t xml:space="preserve"> поддержки МСП</w:t>
      </w:r>
      <w:r w:rsidR="008C7A93" w:rsidRPr="00DF1530">
        <w:rPr>
          <w:lang w:val="ru-RU"/>
        </w:rPr>
        <w:t xml:space="preserve"> </w:t>
      </w:r>
      <w:r w:rsidRPr="00DF1530">
        <w:rPr>
          <w:lang w:val="ru-RU"/>
        </w:rPr>
        <w:t xml:space="preserve">посредством более </w:t>
      </w:r>
      <w:r w:rsidR="00FE69BF" w:rsidRPr="00DF1530">
        <w:rPr>
          <w:lang w:val="ru-RU"/>
        </w:rPr>
        <w:t>гибки</w:t>
      </w:r>
      <w:r w:rsidRPr="00DF1530">
        <w:rPr>
          <w:lang w:val="ru-RU"/>
        </w:rPr>
        <w:t xml:space="preserve">х правил </w:t>
      </w:r>
      <w:r w:rsidR="0087225E" w:rsidRPr="00DF1530">
        <w:rPr>
          <w:lang w:val="ru-RU"/>
        </w:rPr>
        <w:t>использовани</w:t>
      </w:r>
      <w:r w:rsidRPr="00DF1530">
        <w:rPr>
          <w:lang w:val="ru-RU"/>
        </w:rPr>
        <w:t>я</w:t>
      </w:r>
      <w:r w:rsidR="008C7A93" w:rsidRPr="00DF1530">
        <w:rPr>
          <w:lang w:val="ru-RU"/>
        </w:rPr>
        <w:t xml:space="preserve"> </w:t>
      </w:r>
      <w:r w:rsidR="00EB1372" w:rsidRPr="00DF1530">
        <w:rPr>
          <w:lang w:val="ru-RU"/>
        </w:rPr>
        <w:t>федеральн</w:t>
      </w:r>
      <w:r w:rsidRPr="00DF1530">
        <w:rPr>
          <w:lang w:val="ru-RU"/>
        </w:rPr>
        <w:t>о</w:t>
      </w:r>
      <w:r w:rsidR="00EB1372" w:rsidRPr="00DF1530">
        <w:rPr>
          <w:lang w:val="ru-RU"/>
        </w:rPr>
        <w:t>й</w:t>
      </w:r>
      <w:r w:rsidR="008C7A93" w:rsidRPr="00DF1530">
        <w:rPr>
          <w:lang w:val="ru-RU"/>
        </w:rPr>
        <w:t xml:space="preserve"> </w:t>
      </w:r>
      <w:r w:rsidR="00E57A1C" w:rsidRPr="00DF1530">
        <w:rPr>
          <w:lang w:val="ru-RU"/>
        </w:rPr>
        <w:t>поддержк</w:t>
      </w:r>
      <w:r w:rsidRPr="00DF1530">
        <w:rPr>
          <w:lang w:val="ru-RU"/>
        </w:rPr>
        <w:t>и</w:t>
      </w:r>
      <w:r w:rsidR="008C7A93" w:rsidRPr="00DF1530">
        <w:rPr>
          <w:lang w:val="ru-RU"/>
        </w:rPr>
        <w:t xml:space="preserve"> </w:t>
      </w:r>
      <w:r w:rsidRPr="00DF1530">
        <w:rPr>
          <w:lang w:val="ru-RU"/>
        </w:rPr>
        <w:t xml:space="preserve">и расширенной программы диалога между </w:t>
      </w:r>
      <w:r w:rsidR="00EB1372" w:rsidRPr="00DF1530">
        <w:rPr>
          <w:lang w:val="ru-RU"/>
        </w:rPr>
        <w:t>федеральны</w:t>
      </w:r>
      <w:r w:rsidRPr="00DF1530">
        <w:rPr>
          <w:lang w:val="ru-RU"/>
        </w:rPr>
        <w:t xml:space="preserve">м и </w:t>
      </w:r>
      <w:r w:rsidR="000855A8" w:rsidRPr="00DF1530">
        <w:rPr>
          <w:lang w:val="ru-RU"/>
        </w:rPr>
        <w:t>региональны</w:t>
      </w:r>
      <w:r w:rsidRPr="00DF1530">
        <w:rPr>
          <w:lang w:val="ru-RU"/>
        </w:rPr>
        <w:t>ми</w:t>
      </w:r>
      <w:r w:rsidR="008C7A93" w:rsidRPr="00DF1530">
        <w:rPr>
          <w:lang w:val="ru-RU"/>
        </w:rPr>
        <w:t xml:space="preserve"> </w:t>
      </w:r>
      <w:r w:rsidRPr="00DF1530">
        <w:rPr>
          <w:lang w:val="ru-RU"/>
        </w:rPr>
        <w:t xml:space="preserve">уровнями, а также приоритетов на </w:t>
      </w:r>
      <w:r w:rsidR="00EB1372" w:rsidRPr="00DF1530">
        <w:rPr>
          <w:lang w:val="ru-RU"/>
        </w:rPr>
        <w:t>федеральн</w:t>
      </w:r>
      <w:r w:rsidRPr="00DF1530">
        <w:rPr>
          <w:lang w:val="ru-RU"/>
        </w:rPr>
        <w:t xml:space="preserve">ом и </w:t>
      </w:r>
      <w:r w:rsidR="000855A8" w:rsidRPr="00DF1530">
        <w:rPr>
          <w:lang w:val="ru-RU"/>
        </w:rPr>
        <w:t>региональны</w:t>
      </w:r>
      <w:r w:rsidRPr="00DF1530">
        <w:rPr>
          <w:lang w:val="ru-RU"/>
        </w:rPr>
        <w:t>х</w:t>
      </w:r>
      <w:r w:rsidR="008C7A93" w:rsidRPr="00DF1530">
        <w:rPr>
          <w:lang w:val="ru-RU"/>
        </w:rPr>
        <w:t xml:space="preserve"> </w:t>
      </w:r>
      <w:r w:rsidR="00AD05F1" w:rsidRPr="00DF1530">
        <w:rPr>
          <w:lang w:val="ru-RU"/>
        </w:rPr>
        <w:t>уровн</w:t>
      </w:r>
      <w:r w:rsidRPr="00DF1530">
        <w:rPr>
          <w:lang w:val="ru-RU"/>
        </w:rPr>
        <w:t>ях</w:t>
      </w:r>
      <w:r w:rsidR="008C7A93" w:rsidRPr="00DF1530">
        <w:rPr>
          <w:lang w:val="ru-RU"/>
        </w:rPr>
        <w:t xml:space="preserve">. </w:t>
      </w:r>
    </w:p>
    <w:p w:rsidR="008C7A93" w:rsidRPr="00DF1530" w:rsidRDefault="00585BA5" w:rsidP="008C7A93">
      <w:pPr>
        <w:pStyle w:val="a"/>
        <w:rPr>
          <w:lang w:val="ru-RU"/>
        </w:rPr>
      </w:pPr>
      <w:r w:rsidRPr="00DF1530">
        <w:rPr>
          <w:lang w:val="ru-RU"/>
        </w:rPr>
        <w:t xml:space="preserve">Расширить сотрудничество </w:t>
      </w:r>
      <w:r w:rsidR="00C54E38" w:rsidRPr="00DF1530">
        <w:rPr>
          <w:lang w:val="ru-RU"/>
        </w:rPr>
        <w:t>между</w:t>
      </w:r>
      <w:r w:rsidR="008C7A93" w:rsidRPr="00DF1530">
        <w:rPr>
          <w:lang w:val="ru-RU"/>
        </w:rPr>
        <w:t xml:space="preserve"> </w:t>
      </w:r>
      <w:r w:rsidR="000855A8" w:rsidRPr="00DF1530">
        <w:rPr>
          <w:lang w:val="ru-RU"/>
        </w:rPr>
        <w:t>региональны</w:t>
      </w:r>
      <w:r w:rsidRPr="00DF1530">
        <w:rPr>
          <w:lang w:val="ru-RU"/>
        </w:rPr>
        <w:t>ми</w:t>
      </w:r>
      <w:r w:rsidR="008C7A93" w:rsidRPr="00DF1530">
        <w:rPr>
          <w:lang w:val="ru-RU"/>
        </w:rPr>
        <w:t xml:space="preserve"> </w:t>
      </w:r>
      <w:r w:rsidRPr="00DF1530">
        <w:rPr>
          <w:lang w:val="ru-RU"/>
        </w:rPr>
        <w:t xml:space="preserve">органами и </w:t>
      </w:r>
      <w:r w:rsidR="005836E9" w:rsidRPr="00DF1530">
        <w:rPr>
          <w:lang w:val="ru-RU"/>
        </w:rPr>
        <w:t>Внешэкономбанк</w:t>
      </w:r>
      <w:r w:rsidRPr="00DF1530">
        <w:rPr>
          <w:lang w:val="ru-RU"/>
        </w:rPr>
        <w:t>ом</w:t>
      </w:r>
      <w:r w:rsidR="008C7A93" w:rsidRPr="00DF1530">
        <w:rPr>
          <w:lang w:val="ru-RU"/>
        </w:rPr>
        <w:t xml:space="preserve"> (</w:t>
      </w:r>
      <w:r w:rsidRPr="00DF1530">
        <w:rPr>
          <w:lang w:val="ru-RU"/>
        </w:rPr>
        <w:t>государственный банк развития</w:t>
      </w:r>
      <w:r w:rsidR="008C7A93" w:rsidRPr="00DF1530">
        <w:rPr>
          <w:lang w:val="ru-RU"/>
        </w:rPr>
        <w:t xml:space="preserve">) </w:t>
      </w:r>
      <w:r w:rsidRPr="00DF1530">
        <w:rPr>
          <w:lang w:val="ru-RU"/>
        </w:rPr>
        <w:t xml:space="preserve">для предоставления более адаптированных к конкретному региону услуг по </w:t>
      </w:r>
      <w:r w:rsidR="004A7BFD" w:rsidRPr="00DF1530">
        <w:rPr>
          <w:lang w:val="ru-RU"/>
        </w:rPr>
        <w:t>финансировани</w:t>
      </w:r>
      <w:r w:rsidRPr="00DF1530">
        <w:rPr>
          <w:lang w:val="ru-RU"/>
        </w:rPr>
        <w:t>ю,</w:t>
      </w:r>
      <w:r w:rsidR="008C7A93" w:rsidRPr="00DF1530">
        <w:rPr>
          <w:lang w:val="ru-RU"/>
        </w:rPr>
        <w:t xml:space="preserve"> </w:t>
      </w:r>
      <w:r w:rsidR="00297F6F" w:rsidRPr="00DF1530">
        <w:rPr>
          <w:lang w:val="ru-RU"/>
        </w:rPr>
        <w:t>включая</w:t>
      </w:r>
      <w:r w:rsidR="008C7A93" w:rsidRPr="00DF1530">
        <w:rPr>
          <w:lang w:val="ru-RU"/>
        </w:rPr>
        <w:t xml:space="preserve"> </w:t>
      </w:r>
      <w:r w:rsidR="00A62295" w:rsidRPr="00DF1530">
        <w:rPr>
          <w:lang w:val="ru-RU"/>
        </w:rPr>
        <w:t>дополнительные</w:t>
      </w:r>
      <w:r w:rsidR="008C7A93" w:rsidRPr="00DF1530">
        <w:rPr>
          <w:lang w:val="ru-RU"/>
        </w:rPr>
        <w:t xml:space="preserve"> </w:t>
      </w:r>
      <w:r w:rsidRPr="00DF1530">
        <w:rPr>
          <w:lang w:val="ru-RU"/>
        </w:rPr>
        <w:t xml:space="preserve">продукты для </w:t>
      </w:r>
      <w:r w:rsidR="00925E09" w:rsidRPr="00DF1530">
        <w:rPr>
          <w:lang w:val="ru-RU"/>
        </w:rPr>
        <w:t>вновь создаваемы</w:t>
      </w:r>
      <w:r w:rsidRPr="00DF1530">
        <w:rPr>
          <w:lang w:val="ru-RU"/>
        </w:rPr>
        <w:t>х</w:t>
      </w:r>
      <w:r w:rsidR="00925E09" w:rsidRPr="00DF1530">
        <w:rPr>
          <w:lang w:val="ru-RU"/>
        </w:rPr>
        <w:t xml:space="preserve"> предприяти</w:t>
      </w:r>
      <w:r w:rsidRPr="00DF1530">
        <w:rPr>
          <w:lang w:val="ru-RU"/>
        </w:rPr>
        <w:t>й</w:t>
      </w:r>
      <w:r w:rsidR="008C7A93" w:rsidRPr="00DF1530">
        <w:rPr>
          <w:lang w:val="ru-RU"/>
        </w:rPr>
        <w:t xml:space="preserve"> </w:t>
      </w:r>
      <w:r w:rsidRPr="00DF1530">
        <w:rPr>
          <w:lang w:val="ru-RU"/>
        </w:rPr>
        <w:t xml:space="preserve">и новых </w:t>
      </w:r>
      <w:r w:rsidR="00347E3A" w:rsidRPr="00DF1530">
        <w:rPr>
          <w:lang w:val="ru-RU"/>
        </w:rPr>
        <w:t>предпринимател</w:t>
      </w:r>
      <w:r w:rsidRPr="00DF1530">
        <w:rPr>
          <w:lang w:val="ru-RU"/>
        </w:rPr>
        <w:t xml:space="preserve">ей, </w:t>
      </w:r>
      <w:r w:rsidR="008E18A7" w:rsidRPr="00DF1530">
        <w:rPr>
          <w:lang w:val="ru-RU"/>
        </w:rPr>
        <w:t>венчурн</w:t>
      </w:r>
      <w:r w:rsidRPr="00DF1530">
        <w:rPr>
          <w:lang w:val="ru-RU"/>
        </w:rPr>
        <w:t>ого</w:t>
      </w:r>
      <w:r w:rsidR="008E18A7" w:rsidRPr="00DF1530">
        <w:rPr>
          <w:lang w:val="ru-RU"/>
        </w:rPr>
        <w:t xml:space="preserve"> капитал</w:t>
      </w:r>
      <w:r w:rsidRPr="00DF1530">
        <w:rPr>
          <w:lang w:val="ru-RU"/>
        </w:rPr>
        <w:t>а</w:t>
      </w:r>
      <w:r w:rsidR="008C7A93" w:rsidRPr="00DF1530">
        <w:rPr>
          <w:lang w:val="ru-RU"/>
        </w:rPr>
        <w:t xml:space="preserve"> </w:t>
      </w:r>
      <w:r w:rsidRPr="00DF1530">
        <w:rPr>
          <w:lang w:val="ru-RU"/>
        </w:rPr>
        <w:t xml:space="preserve">и инициатив по бизнес-ангелам в </w:t>
      </w:r>
      <w:r w:rsidR="004750CA" w:rsidRPr="00DF1530">
        <w:rPr>
          <w:lang w:val="ru-RU"/>
        </w:rPr>
        <w:t>регион</w:t>
      </w:r>
      <w:r w:rsidRPr="00DF1530">
        <w:rPr>
          <w:lang w:val="ru-RU"/>
        </w:rPr>
        <w:t xml:space="preserve">ах, где зарождаются сильные секторы инновационных </w:t>
      </w:r>
      <w:r w:rsidR="00834072" w:rsidRPr="00DF1530">
        <w:rPr>
          <w:lang w:val="ru-RU"/>
        </w:rPr>
        <w:t>МСП</w:t>
      </w:r>
      <w:r w:rsidR="008C7A93" w:rsidRPr="00DF1530">
        <w:rPr>
          <w:lang w:val="ru-RU"/>
        </w:rPr>
        <w:t xml:space="preserve">. </w:t>
      </w:r>
    </w:p>
    <w:p w:rsidR="008C7A93" w:rsidRPr="00DF1530" w:rsidRDefault="000C48CE" w:rsidP="008C7A93">
      <w:pPr>
        <w:pStyle w:val="a"/>
        <w:rPr>
          <w:lang w:val="ru-RU"/>
        </w:rPr>
      </w:pPr>
      <w:r w:rsidRPr="00DF1530">
        <w:rPr>
          <w:lang w:val="ru-RU"/>
        </w:rPr>
        <w:t xml:space="preserve">Привлечь частные </w:t>
      </w:r>
      <w:r w:rsidR="00297F6F" w:rsidRPr="00DF1530">
        <w:rPr>
          <w:lang w:val="ru-RU"/>
        </w:rPr>
        <w:t>предприятия</w:t>
      </w:r>
      <w:r w:rsidR="008C7A93" w:rsidRPr="00DF1530">
        <w:rPr>
          <w:lang w:val="ru-RU"/>
        </w:rPr>
        <w:t xml:space="preserve"> </w:t>
      </w:r>
      <w:r w:rsidRPr="00DF1530">
        <w:rPr>
          <w:lang w:val="ru-RU"/>
        </w:rPr>
        <w:t xml:space="preserve">к разработке </w:t>
      </w:r>
      <w:r w:rsidR="00D3769A" w:rsidRPr="00DF1530">
        <w:rPr>
          <w:lang w:val="ru-RU"/>
        </w:rPr>
        <w:t>инноваци</w:t>
      </w:r>
      <w:r w:rsidRPr="00DF1530">
        <w:rPr>
          <w:lang w:val="ru-RU"/>
        </w:rPr>
        <w:t>онной</w:t>
      </w:r>
      <w:r w:rsidR="008C7A93" w:rsidRPr="00DF1530">
        <w:rPr>
          <w:lang w:val="ru-RU"/>
        </w:rPr>
        <w:t xml:space="preserve"> </w:t>
      </w:r>
      <w:r w:rsidR="00AC6CBB" w:rsidRPr="00DF1530">
        <w:rPr>
          <w:lang w:val="ru-RU"/>
        </w:rPr>
        <w:t>инфраструктур</w:t>
      </w:r>
      <w:r w:rsidRPr="00DF1530">
        <w:rPr>
          <w:lang w:val="ru-RU"/>
        </w:rPr>
        <w:t>ы для МСП</w:t>
      </w:r>
      <w:r w:rsidR="008C7A93" w:rsidRPr="00DF1530">
        <w:rPr>
          <w:lang w:val="ru-RU"/>
        </w:rPr>
        <w:t xml:space="preserve">, </w:t>
      </w:r>
      <w:r w:rsidRPr="00DF1530">
        <w:rPr>
          <w:lang w:val="ru-RU"/>
        </w:rPr>
        <w:t xml:space="preserve">такой, как </w:t>
      </w:r>
      <w:r w:rsidR="00E846EC" w:rsidRPr="00DF1530">
        <w:rPr>
          <w:lang w:val="ru-RU"/>
        </w:rPr>
        <w:t>бизнес-инкубаторы</w:t>
      </w:r>
      <w:r w:rsidR="008C7A93" w:rsidRPr="00DF1530">
        <w:rPr>
          <w:lang w:val="ru-RU"/>
        </w:rPr>
        <w:t xml:space="preserve"> </w:t>
      </w:r>
      <w:r w:rsidRPr="00DF1530">
        <w:rPr>
          <w:lang w:val="ru-RU"/>
        </w:rPr>
        <w:t>и технопарки</w:t>
      </w:r>
      <w:r w:rsidR="008C7A93" w:rsidRPr="00DF1530">
        <w:rPr>
          <w:lang w:val="ru-RU"/>
        </w:rPr>
        <w:t xml:space="preserve">, </w:t>
      </w:r>
      <w:r w:rsidRPr="00DF1530">
        <w:rPr>
          <w:lang w:val="ru-RU"/>
        </w:rPr>
        <w:t xml:space="preserve">и сосредоточить их внимание на предложении специально разработанных консультационных услуг и инструктажа для местных </w:t>
      </w:r>
      <w:r w:rsidR="00834072" w:rsidRPr="00DF1530">
        <w:rPr>
          <w:lang w:val="ru-RU"/>
        </w:rPr>
        <w:t>предприяти</w:t>
      </w:r>
      <w:r w:rsidRPr="00DF1530">
        <w:rPr>
          <w:lang w:val="ru-RU"/>
        </w:rPr>
        <w:t>й</w:t>
      </w:r>
      <w:r w:rsidR="008C7A93" w:rsidRPr="00DF1530">
        <w:rPr>
          <w:lang w:val="ru-RU"/>
        </w:rPr>
        <w:t xml:space="preserve"> </w:t>
      </w:r>
      <w:r w:rsidRPr="00DF1530">
        <w:rPr>
          <w:lang w:val="ru-RU"/>
        </w:rPr>
        <w:t xml:space="preserve">с поддержкой </w:t>
      </w:r>
      <w:r w:rsidR="00D3769A" w:rsidRPr="00DF1530">
        <w:rPr>
          <w:lang w:val="ru-RU"/>
        </w:rPr>
        <w:t>инноваци</w:t>
      </w:r>
      <w:r w:rsidRPr="00DF1530">
        <w:rPr>
          <w:lang w:val="ru-RU"/>
        </w:rPr>
        <w:t>онного</w:t>
      </w:r>
      <w:r w:rsidR="008C7A93" w:rsidRPr="00DF1530">
        <w:rPr>
          <w:lang w:val="ru-RU"/>
        </w:rPr>
        <w:t xml:space="preserve"> </w:t>
      </w:r>
      <w:r w:rsidRPr="00DF1530">
        <w:rPr>
          <w:lang w:val="ru-RU"/>
        </w:rPr>
        <w:t>сотрудничества</w:t>
      </w:r>
      <w:r w:rsidR="008C7A93" w:rsidRPr="00DF1530">
        <w:rPr>
          <w:lang w:val="ru-RU"/>
        </w:rPr>
        <w:t xml:space="preserve">. </w:t>
      </w:r>
    </w:p>
    <w:p w:rsidR="008C7A93" w:rsidRPr="00DF1530" w:rsidRDefault="00E57A1C" w:rsidP="008C7A93">
      <w:pPr>
        <w:pStyle w:val="a"/>
        <w:rPr>
          <w:lang w:val="ru-RU"/>
        </w:rPr>
      </w:pPr>
      <w:r w:rsidRPr="00DF1530">
        <w:rPr>
          <w:lang w:val="ru-RU"/>
        </w:rPr>
        <w:t>Поддерж</w:t>
      </w:r>
      <w:r w:rsidR="001C010D" w:rsidRPr="00DF1530">
        <w:rPr>
          <w:lang w:val="ru-RU"/>
        </w:rPr>
        <w:t xml:space="preserve">ивать повышение квалификации работников местных </w:t>
      </w:r>
      <w:r w:rsidR="00834072" w:rsidRPr="00DF1530">
        <w:rPr>
          <w:lang w:val="ru-RU"/>
        </w:rPr>
        <w:t>МСП</w:t>
      </w:r>
      <w:r w:rsidR="008C7A93" w:rsidRPr="00DF1530">
        <w:rPr>
          <w:lang w:val="ru-RU"/>
        </w:rPr>
        <w:t xml:space="preserve"> </w:t>
      </w:r>
      <w:r w:rsidR="001C010D" w:rsidRPr="00DF1530">
        <w:rPr>
          <w:lang w:val="ru-RU"/>
        </w:rPr>
        <w:t xml:space="preserve">путем направления большего числа выпускников в </w:t>
      </w:r>
      <w:r w:rsidR="00F736B7" w:rsidRPr="00DF1530">
        <w:rPr>
          <w:lang w:val="ru-RU"/>
        </w:rPr>
        <w:t>МСП</w:t>
      </w:r>
      <w:r w:rsidR="008C7A93" w:rsidRPr="00DF1530">
        <w:rPr>
          <w:lang w:val="ru-RU"/>
        </w:rPr>
        <w:t xml:space="preserve"> </w:t>
      </w:r>
      <w:r w:rsidR="001C010D" w:rsidRPr="00DF1530">
        <w:rPr>
          <w:lang w:val="ru-RU"/>
        </w:rPr>
        <w:t xml:space="preserve">и адаптации бизнес-курсов в высших учебных заведениях к потребностям местных </w:t>
      </w:r>
      <w:r w:rsidR="00F736B7" w:rsidRPr="00DF1530">
        <w:rPr>
          <w:lang w:val="ru-RU"/>
        </w:rPr>
        <w:t>МСП</w:t>
      </w:r>
      <w:r w:rsidR="008C7A93" w:rsidRPr="00DF1530">
        <w:rPr>
          <w:lang w:val="ru-RU"/>
        </w:rPr>
        <w:t xml:space="preserve">. </w:t>
      </w:r>
    </w:p>
    <w:p w:rsidR="008C7A93" w:rsidRPr="00DF1530" w:rsidRDefault="00D47356" w:rsidP="008C7A93">
      <w:pPr>
        <w:pStyle w:val="a"/>
        <w:rPr>
          <w:lang w:val="ru-RU"/>
        </w:rPr>
      </w:pPr>
      <w:r w:rsidRPr="00DF1530">
        <w:rPr>
          <w:lang w:val="ru-RU"/>
        </w:rPr>
        <w:t xml:space="preserve">Расширить </w:t>
      </w:r>
      <w:r w:rsidR="00EB1372" w:rsidRPr="00DF1530">
        <w:rPr>
          <w:lang w:val="ru-RU"/>
        </w:rPr>
        <w:t>федеральны</w:t>
      </w:r>
      <w:r w:rsidRPr="00DF1530">
        <w:rPr>
          <w:lang w:val="ru-RU"/>
        </w:rPr>
        <w:t>е</w:t>
      </w:r>
      <w:r w:rsidR="008C7A93" w:rsidRPr="00DF1530">
        <w:rPr>
          <w:lang w:val="ru-RU"/>
        </w:rPr>
        <w:t xml:space="preserve"> </w:t>
      </w:r>
      <w:r w:rsidR="0023536F" w:rsidRPr="00DF1530">
        <w:rPr>
          <w:lang w:val="ru-RU"/>
        </w:rPr>
        <w:t>программ</w:t>
      </w:r>
      <w:r w:rsidRPr="00DF1530">
        <w:rPr>
          <w:lang w:val="ru-RU"/>
        </w:rPr>
        <w:t>ы кластеров</w:t>
      </w:r>
      <w:r w:rsidR="008C7A93" w:rsidRPr="00DF1530">
        <w:rPr>
          <w:lang w:val="ru-RU"/>
        </w:rPr>
        <w:t xml:space="preserve"> </w:t>
      </w:r>
      <w:r w:rsidRPr="00DF1530">
        <w:rPr>
          <w:lang w:val="ru-RU"/>
        </w:rPr>
        <w:t xml:space="preserve">на секторы, не связанные с наукой, и добавить такие направления </w:t>
      </w:r>
      <w:r w:rsidR="00297F6F" w:rsidRPr="00DF1530">
        <w:rPr>
          <w:lang w:val="ru-RU"/>
        </w:rPr>
        <w:t>деятельност</w:t>
      </w:r>
      <w:r w:rsidRPr="00DF1530">
        <w:rPr>
          <w:lang w:val="ru-RU"/>
        </w:rPr>
        <w:t>и, как</w:t>
      </w:r>
      <w:r w:rsidR="008C7A93" w:rsidRPr="00DF1530">
        <w:rPr>
          <w:lang w:val="ru-RU"/>
        </w:rPr>
        <w:t xml:space="preserve"> </w:t>
      </w:r>
      <w:r w:rsidRPr="00DF1530">
        <w:rPr>
          <w:lang w:val="ru-RU"/>
        </w:rPr>
        <w:t xml:space="preserve">повышение квалификации, а также </w:t>
      </w:r>
      <w:r w:rsidR="00D3769A" w:rsidRPr="00DF1530">
        <w:rPr>
          <w:lang w:val="ru-RU"/>
        </w:rPr>
        <w:t>инновации</w:t>
      </w:r>
      <w:r w:rsidR="008C7A93" w:rsidRPr="00DF1530">
        <w:rPr>
          <w:lang w:val="ru-RU"/>
        </w:rPr>
        <w:t xml:space="preserve">. </w:t>
      </w:r>
    </w:p>
    <w:p w:rsidR="008C7A93" w:rsidRPr="00DF1530" w:rsidRDefault="00D47356" w:rsidP="008C7A93">
      <w:pPr>
        <w:pStyle w:val="a"/>
        <w:rPr>
          <w:lang w:val="ru-RU"/>
        </w:rPr>
      </w:pPr>
      <w:r w:rsidRPr="00DF1530">
        <w:rPr>
          <w:lang w:val="ru-RU"/>
        </w:rPr>
        <w:t>Повысить внимание к формированию предпринимательских навыков</w:t>
      </w:r>
      <w:r w:rsidR="008C7A93" w:rsidRPr="00DF1530">
        <w:rPr>
          <w:lang w:val="ru-RU"/>
        </w:rPr>
        <w:t xml:space="preserve">, </w:t>
      </w:r>
      <w:r w:rsidRPr="00DF1530">
        <w:rPr>
          <w:lang w:val="ru-RU"/>
        </w:rPr>
        <w:t xml:space="preserve">общественному капиталу и ролевым моделям в стратегиях по </w:t>
      </w:r>
      <w:r w:rsidR="003975EE" w:rsidRPr="00DF1530">
        <w:rPr>
          <w:lang w:val="ru-RU"/>
        </w:rPr>
        <w:t>диверсификаци</w:t>
      </w:r>
      <w:r w:rsidRPr="00DF1530">
        <w:rPr>
          <w:lang w:val="ru-RU"/>
        </w:rPr>
        <w:t>и</w:t>
      </w:r>
      <w:r w:rsidR="008C7A93" w:rsidRPr="00DF1530">
        <w:rPr>
          <w:lang w:val="ru-RU"/>
        </w:rPr>
        <w:t xml:space="preserve"> </w:t>
      </w:r>
      <w:r w:rsidRPr="00DF1530">
        <w:rPr>
          <w:lang w:val="ru-RU"/>
        </w:rPr>
        <w:t>городов с градообразующими предприятиями</w:t>
      </w:r>
      <w:r w:rsidR="008C7A93" w:rsidRPr="00DF1530">
        <w:rPr>
          <w:lang w:val="ru-RU"/>
        </w:rPr>
        <w:t>.</w:t>
      </w:r>
    </w:p>
    <w:p w:rsidR="00125645" w:rsidRPr="00DF1530" w:rsidRDefault="00125645" w:rsidP="008C7A93">
      <w:pPr>
        <w:pStyle w:val="a5"/>
        <w:rPr>
          <w:lang w:val="ru-RU"/>
        </w:rPr>
      </w:pPr>
    </w:p>
    <w:sectPr w:rsidR="00125645" w:rsidRPr="00DF1530" w:rsidSect="00953748">
      <w:headerReference w:type="even" r:id="rId26"/>
      <w:footerReference w:type="even" r:id="rId27"/>
      <w:footerReference w:type="default" r:id="rId28"/>
      <w:endnotePr>
        <w:numFmt w:val="decimal"/>
      </w:endnotePr>
      <w:pgSz w:w="11906" w:h="16838"/>
      <w:pgMar w:top="1956" w:right="1247" w:bottom="1956" w:left="1587" w:header="567" w:footer="141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F75" w:rsidRDefault="00416F75">
      <w:r>
        <w:separator/>
      </w:r>
    </w:p>
  </w:endnote>
  <w:endnote w:type="continuationSeparator" w:id="0">
    <w:p w:rsidR="00416F75" w:rsidRDefault="00416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Univers 45 Light">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Interstate">
    <w:altName w:val="Interstat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F6" w:rsidRDefault="009030BD" w:rsidP="008C7A93">
    <w:pPr>
      <w:pStyle w:val="aff1"/>
      <w:framePr w:wrap="around" w:vAnchor="text" w:hAnchor="margin" w:xAlign="center" w:y="1"/>
      <w:rPr>
        <w:rStyle w:val="afffd"/>
      </w:rPr>
    </w:pPr>
    <w:r>
      <w:rPr>
        <w:rStyle w:val="afffd"/>
      </w:rPr>
      <w:fldChar w:fldCharType="begin"/>
    </w:r>
    <w:r w:rsidR="00487FF6">
      <w:rPr>
        <w:rStyle w:val="afffd"/>
      </w:rPr>
      <w:instrText xml:space="preserve">PAGE  </w:instrText>
    </w:r>
    <w:r>
      <w:rPr>
        <w:rStyle w:val="afffd"/>
      </w:rPr>
      <w:fldChar w:fldCharType="separate"/>
    </w:r>
    <w:r w:rsidR="00487FF6">
      <w:rPr>
        <w:rStyle w:val="afffd"/>
        <w:noProof/>
      </w:rPr>
      <w:t>2</w:t>
    </w:r>
    <w:r>
      <w:rPr>
        <w:rStyle w:val="afffd"/>
      </w:rPr>
      <w:fldChar w:fldCharType="end"/>
    </w:r>
  </w:p>
  <w:p w:rsidR="00487FF6" w:rsidRDefault="00487FF6">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159452"/>
      <w:docPartObj>
        <w:docPartGallery w:val="Page Numbers (Bottom of Page)"/>
        <w:docPartUnique/>
      </w:docPartObj>
    </w:sdtPr>
    <w:sdtContent>
      <w:p w:rsidR="00953748" w:rsidRDefault="009030BD">
        <w:pPr>
          <w:pStyle w:val="aff1"/>
          <w:jc w:val="center"/>
        </w:pPr>
        <w:r>
          <w:fldChar w:fldCharType="begin"/>
        </w:r>
        <w:r w:rsidR="00953748">
          <w:instrText>PAGE   \* MERGEFORMAT</w:instrText>
        </w:r>
        <w:r>
          <w:fldChar w:fldCharType="separate"/>
        </w:r>
        <w:r w:rsidR="006532F8" w:rsidRPr="006532F8">
          <w:rPr>
            <w:noProof/>
            <w:lang w:val="ru-RU"/>
          </w:rPr>
          <w:t>2</w:t>
        </w:r>
        <w:r>
          <w:fldChar w:fldCharType="end"/>
        </w:r>
      </w:p>
    </w:sdtContent>
  </w:sdt>
  <w:p w:rsidR="00953748" w:rsidRDefault="00953748">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F75" w:rsidRDefault="00416F75">
      <w:r>
        <w:separator/>
      </w:r>
    </w:p>
  </w:footnote>
  <w:footnote w:type="continuationSeparator" w:id="0">
    <w:p w:rsidR="00416F75" w:rsidRDefault="00416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FF6" w:rsidRDefault="00487FF6">
    <w:pPr>
      <w:pStyle w:val="af5"/>
    </w:pPr>
    <w:r>
      <w:t>AAA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63C3BD8"/>
    <w:lvl w:ilvl="0">
      <w:start w:val="1"/>
      <w:numFmt w:val="bullet"/>
      <w:lvlText w:val=""/>
      <w:lvlJc w:val="left"/>
      <w:pPr>
        <w:tabs>
          <w:tab w:val="num" w:pos="643"/>
        </w:tabs>
        <w:ind w:left="643" w:hanging="360"/>
      </w:pPr>
      <w:rPr>
        <w:rFonts w:ascii="Symbol" w:hAnsi="Symbol" w:hint="default"/>
      </w:rPr>
    </w:lvl>
  </w:abstractNum>
  <w:abstractNum w:abstractNumId="1">
    <w:nsid w:val="03737FEA"/>
    <w:multiLevelType w:val="multilevel"/>
    <w:tmpl w:val="F208AC20"/>
    <w:lvl w:ilvl="0">
      <w:start w:val="1"/>
      <w:numFmt w:val="lowerRoman"/>
      <w:lvlText w:val="%1."/>
      <w:lvlJc w:val="righ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44E5D"/>
    <w:multiLevelType w:val="multilevel"/>
    <w:tmpl w:val="828CDCC4"/>
    <w:name w:val="templateNumber2523"/>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462EA1"/>
    <w:multiLevelType w:val="hybridMultilevel"/>
    <w:tmpl w:val="1C540F8C"/>
    <w:lvl w:ilvl="0" w:tplc="08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F90F62"/>
    <w:multiLevelType w:val="singleLevel"/>
    <w:tmpl w:val="A83EC896"/>
    <w:name w:val="templateBullet1"/>
    <w:lvl w:ilvl="0">
      <w:start w:val="1"/>
      <w:numFmt w:val="bullet"/>
      <w:pStyle w:val="a"/>
      <w:lvlText w:val="·"/>
      <w:lvlJc w:val="left"/>
      <w:pPr>
        <w:tabs>
          <w:tab w:val="num" w:pos="850"/>
        </w:tabs>
        <w:ind w:left="850" w:hanging="408"/>
      </w:pPr>
      <w:rPr>
        <w:rFonts w:ascii="Symbol" w:hAnsi="Symbol" w:cs="Times New Roman" w:hint="default"/>
        <w:b w:val="0"/>
        <w:i w:val="0"/>
        <w:sz w:val="22"/>
        <w:lang w:val="ru-RU"/>
      </w:rPr>
    </w:lvl>
  </w:abstractNum>
  <w:abstractNum w:abstractNumId="5">
    <w:nsid w:val="0B253BD4"/>
    <w:multiLevelType w:val="multilevel"/>
    <w:tmpl w:val="828CDCC4"/>
    <w:name w:val="templateNumber2"/>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7">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9">
    <w:nsid w:val="0E754738"/>
    <w:multiLevelType w:val="multilevel"/>
    <w:tmpl w:val="828CDCC4"/>
    <w:name w:val="templateNumber2523223"/>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F2E1C1C"/>
    <w:multiLevelType w:val="hybridMultilevel"/>
    <w:tmpl w:val="0650A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1A34B2E"/>
    <w:multiLevelType w:val="multilevel"/>
    <w:tmpl w:val="04090025"/>
    <w:styleLink w:val="Style1"/>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3">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14">
    <w:nsid w:val="20B57F1B"/>
    <w:multiLevelType w:val="multilevel"/>
    <w:tmpl w:val="828CDCC4"/>
    <w:name w:val="templateNumber25232"/>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66059B7"/>
    <w:multiLevelType w:val="hybridMultilevel"/>
    <w:tmpl w:val="2A06A5DE"/>
    <w:name w:val="templateNumber2522"/>
    <w:lvl w:ilvl="0" w:tplc="08090003">
      <w:start w:val="1"/>
      <w:numFmt w:val="bullet"/>
      <w:lvlText w:val="o"/>
      <w:lvlJc w:val="left"/>
      <w:pPr>
        <w:ind w:left="1720" w:hanging="360"/>
      </w:pPr>
      <w:rPr>
        <w:rFonts w:ascii="Courier New" w:hAnsi="Courier New" w:cs="Courier New"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6">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17">
    <w:nsid w:val="2ACF6F84"/>
    <w:multiLevelType w:val="singleLevel"/>
    <w:tmpl w:val="D51E568A"/>
    <w:name w:val="templateBullet2"/>
    <w:lvl w:ilvl="0">
      <w:start w:val="1"/>
      <w:numFmt w:val="bullet"/>
      <w:pStyle w:val="2"/>
      <w:lvlText w:val="-"/>
      <w:lvlJc w:val="left"/>
      <w:pPr>
        <w:tabs>
          <w:tab w:val="num" w:pos="1190"/>
        </w:tabs>
        <w:ind w:left="1190" w:hanging="340"/>
      </w:pPr>
      <w:rPr>
        <w:rFonts w:ascii="Symbol" w:hAnsi="Symbol" w:cs="Times New Roman" w:hint="default"/>
        <w:b w:val="0"/>
        <w:i w:val="0"/>
        <w:sz w:val="22"/>
      </w:rPr>
    </w:lvl>
  </w:abstractNum>
  <w:abstractNum w:abstractNumId="18">
    <w:nsid w:val="2C377424"/>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1F715EE"/>
    <w:multiLevelType w:val="multilevel"/>
    <w:tmpl w:val="5FD263A0"/>
    <w:name w:val="templateNumber32"/>
    <w:lvl w:ilvl="0">
      <w:start w:val="1"/>
      <w:numFmt w:val="decimal"/>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4264C29"/>
    <w:multiLevelType w:val="hybridMultilevel"/>
    <w:tmpl w:val="1506CB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22">
    <w:nsid w:val="39E13C37"/>
    <w:multiLevelType w:val="hybridMultilevel"/>
    <w:tmpl w:val="A0E27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B421063"/>
    <w:multiLevelType w:val="multilevel"/>
    <w:tmpl w:val="F99EB0E0"/>
    <w:name w:val="templateNumber3"/>
    <w:lvl w:ilvl="0">
      <w:start w:val="1"/>
      <w:numFmt w:val="decimal"/>
      <w:lvlText w:val="%1."/>
      <w:lvlJc w:val="left"/>
      <w:pPr>
        <w:tabs>
          <w:tab w:val="num" w:pos="850"/>
        </w:tabs>
        <w:ind w:left="850" w:hanging="408"/>
      </w:pPr>
    </w:lvl>
    <w:lvl w:ilvl="1">
      <w:start w:val="1"/>
      <w:numFmt w:val="decimal"/>
      <w:lvlText w:val="%2."/>
      <w:lvlJc w:val="left"/>
      <w:pPr>
        <w:tabs>
          <w:tab w:val="num" w:pos="1191"/>
        </w:tabs>
        <w:ind w:left="1191" w:hanging="341"/>
      </w:pPr>
    </w:lvl>
    <w:lvl w:ilvl="2">
      <w:start w:val="1"/>
      <w:numFmt w:val="decimal"/>
      <w:lvlText w:val="%3."/>
      <w:lvlJc w:val="left"/>
      <w:pPr>
        <w:tabs>
          <w:tab w:val="num" w:pos="1474"/>
        </w:tabs>
        <w:ind w:left="1474" w:hanging="340"/>
      </w:pPr>
    </w:lvl>
    <w:lvl w:ilvl="3">
      <w:start w:val="1"/>
      <w:numFmt w:val="decimal"/>
      <w:lvlText w:val="%4."/>
      <w:lvlJc w:val="left"/>
      <w:pPr>
        <w:tabs>
          <w:tab w:val="num" w:pos="1757"/>
        </w:tabs>
        <w:ind w:left="1757" w:hanging="340"/>
      </w:pPr>
    </w:lvl>
    <w:lvl w:ilvl="4">
      <w:start w:val="1"/>
      <w:numFmt w:val="decimal"/>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C230DE"/>
    <w:multiLevelType w:val="multilevel"/>
    <w:tmpl w:val="F99EB0E0"/>
    <w:name w:val="templateNumber"/>
    <w:lvl w:ilvl="0">
      <w:start w:val="1"/>
      <w:numFmt w:val="decimal"/>
      <w:pStyle w:val="a0"/>
      <w:lvlText w:val="%1."/>
      <w:lvlJc w:val="left"/>
      <w:pPr>
        <w:tabs>
          <w:tab w:val="num" w:pos="850"/>
        </w:tabs>
        <w:ind w:left="850" w:hanging="408"/>
      </w:pPr>
    </w:lvl>
    <w:lvl w:ilvl="1">
      <w:start w:val="1"/>
      <w:numFmt w:val="decimal"/>
      <w:pStyle w:val="20"/>
      <w:lvlText w:val="%2."/>
      <w:lvlJc w:val="left"/>
      <w:pPr>
        <w:tabs>
          <w:tab w:val="num" w:pos="1191"/>
        </w:tabs>
        <w:ind w:left="1191" w:hanging="341"/>
      </w:pPr>
    </w:lvl>
    <w:lvl w:ilvl="2">
      <w:start w:val="1"/>
      <w:numFmt w:val="decimal"/>
      <w:pStyle w:val="3"/>
      <w:lvlText w:val="%3."/>
      <w:lvlJc w:val="left"/>
      <w:pPr>
        <w:tabs>
          <w:tab w:val="num" w:pos="1474"/>
        </w:tabs>
        <w:ind w:left="1474" w:hanging="340"/>
      </w:pPr>
    </w:lvl>
    <w:lvl w:ilvl="3">
      <w:start w:val="1"/>
      <w:numFmt w:val="decimal"/>
      <w:pStyle w:val="4"/>
      <w:lvlText w:val="%4."/>
      <w:lvlJc w:val="left"/>
      <w:pPr>
        <w:tabs>
          <w:tab w:val="num" w:pos="1757"/>
        </w:tabs>
        <w:ind w:left="1757" w:hanging="340"/>
      </w:pPr>
    </w:lvl>
    <w:lvl w:ilvl="4">
      <w:start w:val="1"/>
      <w:numFmt w:val="decimal"/>
      <w:pStyle w:val="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6">
    <w:nsid w:val="48EC55A8"/>
    <w:multiLevelType w:val="singleLevel"/>
    <w:tmpl w:val="EBBACA14"/>
    <w:name w:val="templateBullet3"/>
    <w:lvl w:ilvl="0">
      <w:start w:val="1"/>
      <w:numFmt w:val="bullet"/>
      <w:pStyle w:val="30"/>
      <w:lvlText w:val="-"/>
      <w:lvlJc w:val="left"/>
      <w:pPr>
        <w:tabs>
          <w:tab w:val="num" w:pos="1474"/>
        </w:tabs>
        <w:ind w:left="1474" w:hanging="340"/>
      </w:pPr>
      <w:rPr>
        <w:rFonts w:ascii="Symbol" w:hAnsi="Symbol" w:cs="Times New Roman" w:hint="default"/>
        <w:b w:val="0"/>
        <w:i w:val="0"/>
        <w:sz w:val="22"/>
      </w:rPr>
    </w:lvl>
  </w:abstractNum>
  <w:abstractNum w:abstractNumId="27">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8">
    <w:nsid w:val="5348287C"/>
    <w:multiLevelType w:val="hybridMultilevel"/>
    <w:tmpl w:val="CD4A0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6BE6F79"/>
    <w:multiLevelType w:val="singleLevel"/>
    <w:tmpl w:val="F258D16A"/>
    <w:name w:val="templateBullet4"/>
    <w:lvl w:ilvl="0">
      <w:start w:val="1"/>
      <w:numFmt w:val="bullet"/>
      <w:pStyle w:val="40"/>
      <w:lvlText w:val="-"/>
      <w:lvlJc w:val="left"/>
      <w:pPr>
        <w:tabs>
          <w:tab w:val="num" w:pos="1757"/>
        </w:tabs>
        <w:ind w:left="1757" w:hanging="340"/>
      </w:pPr>
      <w:rPr>
        <w:rFonts w:ascii="Symbol" w:hAnsi="Symbol" w:cs="Times New Roman" w:hint="default"/>
        <w:b w:val="0"/>
        <w:i w:val="0"/>
        <w:sz w:val="22"/>
      </w:rPr>
    </w:lvl>
  </w:abstractNum>
  <w:abstractNum w:abstractNumId="30">
    <w:nsid w:val="57B750CD"/>
    <w:multiLevelType w:val="multilevel"/>
    <w:tmpl w:val="828CDCC4"/>
    <w:name w:val="templateNumber25"/>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AD32272"/>
    <w:multiLevelType w:val="multilevel"/>
    <w:tmpl w:val="04090025"/>
    <w:styleLink w:val="Style2"/>
    <w:lvl w:ilvl="0">
      <w:start w:val="6"/>
      <w:numFmt w:val="decimal"/>
      <w:lvlText w:val="%1"/>
      <w:lvlJc w:val="left"/>
      <w:pPr>
        <w:ind w:left="432" w:hanging="432"/>
      </w:pPr>
    </w:lvl>
    <w:lvl w:ilvl="1">
      <w:start w:val="1"/>
      <w:numFmt w:val="decimal"/>
      <w:lvlText w:val="%1.%2"/>
      <w:lvlJc w:val="left"/>
      <w:pPr>
        <w:ind w:left="35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C8E0CA3"/>
    <w:multiLevelType w:val="singleLevel"/>
    <w:tmpl w:val="BCFCA2DE"/>
    <w:name w:val="templateBullet5"/>
    <w:lvl w:ilvl="0">
      <w:start w:val="1"/>
      <w:numFmt w:val="bullet"/>
      <w:pStyle w:val="50"/>
      <w:lvlText w:val="-"/>
      <w:lvlJc w:val="left"/>
      <w:pPr>
        <w:tabs>
          <w:tab w:val="num" w:pos="2041"/>
        </w:tabs>
        <w:ind w:left="2041" w:hanging="340"/>
      </w:pPr>
      <w:rPr>
        <w:rFonts w:ascii="Symbol" w:hAnsi="Symbol" w:cs="Times New Roman" w:hint="default"/>
        <w:b w:val="0"/>
        <w:i w:val="0"/>
        <w:sz w:val="22"/>
      </w:rPr>
    </w:lvl>
  </w:abstractNum>
  <w:abstractNum w:abstractNumId="33">
    <w:nsid w:val="5DA24E83"/>
    <w:multiLevelType w:val="hybridMultilevel"/>
    <w:tmpl w:val="6478A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5">
    <w:nsid w:val="7AB83032"/>
    <w:multiLevelType w:val="multilevel"/>
    <w:tmpl w:val="828CDCC4"/>
    <w:name w:val="templateNumber252"/>
    <w:lvl w:ilvl="0">
      <w:start w:val="1"/>
      <w:numFmt w:val="decimal"/>
      <w:lvlText w:val="%1."/>
      <w:lvlJc w:val="left"/>
      <w:pPr>
        <w:tabs>
          <w:tab w:val="num" w:pos="850"/>
        </w:tabs>
        <w:ind w:left="850" w:hanging="408"/>
      </w:pPr>
      <w:rPr>
        <w:rFonts w:hint="default"/>
      </w:rPr>
    </w:lvl>
    <w:lvl w:ilvl="1">
      <w:start w:val="1"/>
      <w:numFmt w:val="decimal"/>
      <w:lvlText w:val="%2."/>
      <w:lvlJc w:val="left"/>
      <w:pPr>
        <w:tabs>
          <w:tab w:val="num" w:pos="1191"/>
        </w:tabs>
        <w:ind w:left="1191" w:hanging="341"/>
      </w:pPr>
      <w:rPr>
        <w:rFonts w:hint="default"/>
      </w:rPr>
    </w:lvl>
    <w:lvl w:ilvl="2">
      <w:start w:val="1"/>
      <w:numFmt w:val="decimal"/>
      <w:lvlText w:val="%3."/>
      <w:lvlJc w:val="left"/>
      <w:pPr>
        <w:tabs>
          <w:tab w:val="num" w:pos="1474"/>
        </w:tabs>
        <w:ind w:left="1474" w:hanging="340"/>
      </w:pPr>
      <w:rPr>
        <w:rFonts w:hint="default"/>
      </w:rPr>
    </w:lvl>
    <w:lvl w:ilvl="3">
      <w:start w:val="1"/>
      <w:numFmt w:val="decimal"/>
      <w:lvlText w:val="%4."/>
      <w:lvlJc w:val="left"/>
      <w:pPr>
        <w:tabs>
          <w:tab w:val="num" w:pos="1757"/>
        </w:tabs>
        <w:ind w:left="1757" w:hanging="340"/>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7"/>
  </w:num>
  <w:num w:numId="3">
    <w:abstractNumId w:val="8"/>
  </w:num>
  <w:num w:numId="4">
    <w:abstractNumId w:val="25"/>
  </w:num>
  <w:num w:numId="5">
    <w:abstractNumId w:val="4"/>
  </w:num>
  <w:num w:numId="6">
    <w:abstractNumId w:val="17"/>
  </w:num>
  <w:num w:numId="7">
    <w:abstractNumId w:val="26"/>
  </w:num>
  <w:num w:numId="8">
    <w:abstractNumId w:val="29"/>
  </w:num>
  <w:num w:numId="9">
    <w:abstractNumId w:val="32"/>
  </w:num>
  <w:num w:numId="10">
    <w:abstractNumId w:val="24"/>
  </w:num>
  <w:num w:numId="11">
    <w:abstractNumId w:val="34"/>
  </w:num>
  <w:num w:numId="12">
    <w:abstractNumId w:val="27"/>
  </w:num>
  <w:num w:numId="13">
    <w:abstractNumId w:val="6"/>
  </w:num>
  <w:num w:numId="14">
    <w:abstractNumId w:val="21"/>
  </w:num>
  <w:num w:numId="15">
    <w:abstractNumId w:val="13"/>
  </w:num>
  <w:num w:numId="16">
    <w:abstractNumId w:val="16"/>
  </w:num>
  <w:num w:numId="17">
    <w:abstractNumId w:val="10"/>
  </w:num>
  <w:num w:numId="18">
    <w:abstractNumId w:val="5"/>
  </w:num>
  <w:num w:numId="19">
    <w:abstractNumId w:val="11"/>
  </w:num>
  <w:num w:numId="20">
    <w:abstractNumId w:val="31"/>
  </w:num>
  <w:num w:numId="21">
    <w:abstractNumId w:val="18"/>
  </w:num>
  <w:num w:numId="22">
    <w:abstractNumId w:val="33"/>
  </w:num>
  <w:num w:numId="23">
    <w:abstractNumId w:val="20"/>
  </w:num>
  <w:num w:numId="24">
    <w:abstractNumId w:val="22"/>
  </w:num>
  <w:num w:numId="25">
    <w:abstractNumId w:val="28"/>
  </w:num>
  <w:num w:numId="26">
    <w:abstractNumId w:val="3"/>
  </w:num>
  <w:num w:numId="27">
    <w:abstractNumId w:val="30"/>
  </w:num>
  <w:num w:numId="28">
    <w:abstractNumId w:val="35"/>
  </w:num>
  <w:num w:numId="29">
    <w:abstractNumId w:val="15"/>
  </w:num>
  <w:num w:numId="30">
    <w:abstractNumId w:val="2"/>
  </w:num>
  <w:num w:numId="31">
    <w:abstractNumId w:val="14"/>
  </w:num>
  <w:num w:numId="32">
    <w:abstractNumId w:val="9"/>
  </w:num>
  <w:num w:numId="33">
    <w:abstractNumId w:val="23"/>
  </w:num>
  <w:num w:numId="34">
    <w:abstractNumId w:val="1"/>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Formatting/>
  <w:defaultTabStop w:val="340"/>
  <w:hyphenationZone w:val="425"/>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pos w:val="sectEnd"/>
    <w:numFmt w:val="decimal"/>
    <w:endnote w:id="-1"/>
    <w:endnote w:id="0"/>
  </w:endnotePr>
  <w:compat/>
  <w:docVars>
    <w:docVar w:name="Classification" w:val="For Official Use"/>
    <w:docVar w:name="DocumentStyle" w:val="General Narrative"/>
    <w:docVar w:name="IsPublication" w:val="1"/>
    <w:docVar w:name="Language" w:val="English"/>
    <w:docVar w:name="PaperSize" w:val="typeset"/>
    <w:docVar w:name="PGLANDSCAPE" w:val="0"/>
    <w:docVar w:name="PublicationType" w:val="typeset"/>
  </w:docVars>
  <w:rsids>
    <w:rsidRoot w:val="008C7A93"/>
    <w:rsid w:val="00006C0D"/>
    <w:rsid w:val="000077F7"/>
    <w:rsid w:val="000105F1"/>
    <w:rsid w:val="00011437"/>
    <w:rsid w:val="0001592A"/>
    <w:rsid w:val="00016EE2"/>
    <w:rsid w:val="000256F1"/>
    <w:rsid w:val="00031BD7"/>
    <w:rsid w:val="00046175"/>
    <w:rsid w:val="000550BC"/>
    <w:rsid w:val="00061B61"/>
    <w:rsid w:val="000720DC"/>
    <w:rsid w:val="00072701"/>
    <w:rsid w:val="00074465"/>
    <w:rsid w:val="00075688"/>
    <w:rsid w:val="000816E7"/>
    <w:rsid w:val="000855A8"/>
    <w:rsid w:val="00090F32"/>
    <w:rsid w:val="00092B3D"/>
    <w:rsid w:val="000A5CCD"/>
    <w:rsid w:val="000C48CE"/>
    <w:rsid w:val="000D4BC1"/>
    <w:rsid w:val="000D542E"/>
    <w:rsid w:val="000D5BD8"/>
    <w:rsid w:val="000D6ED8"/>
    <w:rsid w:val="0010795B"/>
    <w:rsid w:val="0011088F"/>
    <w:rsid w:val="00116AEF"/>
    <w:rsid w:val="00125645"/>
    <w:rsid w:val="0014457B"/>
    <w:rsid w:val="00157CE7"/>
    <w:rsid w:val="00160378"/>
    <w:rsid w:val="00172CE7"/>
    <w:rsid w:val="00175A0E"/>
    <w:rsid w:val="00195130"/>
    <w:rsid w:val="001A23D0"/>
    <w:rsid w:val="001A3FC6"/>
    <w:rsid w:val="001A500C"/>
    <w:rsid w:val="001B18F4"/>
    <w:rsid w:val="001C010D"/>
    <w:rsid w:val="001D1A66"/>
    <w:rsid w:val="001D3F4C"/>
    <w:rsid w:val="001D563D"/>
    <w:rsid w:val="001E0F12"/>
    <w:rsid w:val="001E182F"/>
    <w:rsid w:val="001E5E3F"/>
    <w:rsid w:val="001E73CC"/>
    <w:rsid w:val="001F16A0"/>
    <w:rsid w:val="00201575"/>
    <w:rsid w:val="00202BA0"/>
    <w:rsid w:val="0020788F"/>
    <w:rsid w:val="00217047"/>
    <w:rsid w:val="00225354"/>
    <w:rsid w:val="00227AB0"/>
    <w:rsid w:val="002318D2"/>
    <w:rsid w:val="00233F4F"/>
    <w:rsid w:val="0023536F"/>
    <w:rsid w:val="002460EA"/>
    <w:rsid w:val="002619CA"/>
    <w:rsid w:val="002642DF"/>
    <w:rsid w:val="00271853"/>
    <w:rsid w:val="002730DD"/>
    <w:rsid w:val="002738EC"/>
    <w:rsid w:val="00275F6C"/>
    <w:rsid w:val="002861E4"/>
    <w:rsid w:val="00293213"/>
    <w:rsid w:val="00297F6F"/>
    <w:rsid w:val="002A5CF7"/>
    <w:rsid w:val="002A62C0"/>
    <w:rsid w:val="002B672B"/>
    <w:rsid w:val="002C0BD8"/>
    <w:rsid w:val="002C29C5"/>
    <w:rsid w:val="002D4AC0"/>
    <w:rsid w:val="002E60CB"/>
    <w:rsid w:val="002E6E80"/>
    <w:rsid w:val="002E7A14"/>
    <w:rsid w:val="002F4768"/>
    <w:rsid w:val="0030014E"/>
    <w:rsid w:val="0030216D"/>
    <w:rsid w:val="00303B7A"/>
    <w:rsid w:val="0031402F"/>
    <w:rsid w:val="00317B69"/>
    <w:rsid w:val="00321A50"/>
    <w:rsid w:val="0032434C"/>
    <w:rsid w:val="00325DA7"/>
    <w:rsid w:val="0032725E"/>
    <w:rsid w:val="00331847"/>
    <w:rsid w:val="00335F09"/>
    <w:rsid w:val="00337159"/>
    <w:rsid w:val="00345F46"/>
    <w:rsid w:val="00347E3A"/>
    <w:rsid w:val="00353F0B"/>
    <w:rsid w:val="003546C2"/>
    <w:rsid w:val="00356987"/>
    <w:rsid w:val="00362008"/>
    <w:rsid w:val="0036661D"/>
    <w:rsid w:val="00381392"/>
    <w:rsid w:val="00383488"/>
    <w:rsid w:val="003849A5"/>
    <w:rsid w:val="00391E8B"/>
    <w:rsid w:val="00396D9D"/>
    <w:rsid w:val="003975EE"/>
    <w:rsid w:val="003A1AC6"/>
    <w:rsid w:val="003A331F"/>
    <w:rsid w:val="003B14FD"/>
    <w:rsid w:val="003B38E6"/>
    <w:rsid w:val="003B7628"/>
    <w:rsid w:val="003E1B86"/>
    <w:rsid w:val="003E35C9"/>
    <w:rsid w:val="003E4CC3"/>
    <w:rsid w:val="003E6F53"/>
    <w:rsid w:val="003E7B9B"/>
    <w:rsid w:val="003F13A5"/>
    <w:rsid w:val="003F5CB4"/>
    <w:rsid w:val="0041250F"/>
    <w:rsid w:val="00416F75"/>
    <w:rsid w:val="00421ABD"/>
    <w:rsid w:val="00427589"/>
    <w:rsid w:val="00467AA9"/>
    <w:rsid w:val="00470EC8"/>
    <w:rsid w:val="00471B9A"/>
    <w:rsid w:val="00471BCA"/>
    <w:rsid w:val="0047268B"/>
    <w:rsid w:val="00472932"/>
    <w:rsid w:val="004750CA"/>
    <w:rsid w:val="0048710C"/>
    <w:rsid w:val="00487FF6"/>
    <w:rsid w:val="00494100"/>
    <w:rsid w:val="00494226"/>
    <w:rsid w:val="004A15FD"/>
    <w:rsid w:val="004A7BFD"/>
    <w:rsid w:val="004B4A98"/>
    <w:rsid w:val="004D2A9D"/>
    <w:rsid w:val="004F33C4"/>
    <w:rsid w:val="004F360C"/>
    <w:rsid w:val="004F3F5F"/>
    <w:rsid w:val="004F446E"/>
    <w:rsid w:val="0050082E"/>
    <w:rsid w:val="00516550"/>
    <w:rsid w:val="00521FCA"/>
    <w:rsid w:val="00525182"/>
    <w:rsid w:val="00531377"/>
    <w:rsid w:val="00533D94"/>
    <w:rsid w:val="00541784"/>
    <w:rsid w:val="00547804"/>
    <w:rsid w:val="005600E1"/>
    <w:rsid w:val="005624E6"/>
    <w:rsid w:val="00562D52"/>
    <w:rsid w:val="00564893"/>
    <w:rsid w:val="005747D3"/>
    <w:rsid w:val="005836E9"/>
    <w:rsid w:val="00585BA5"/>
    <w:rsid w:val="005903A3"/>
    <w:rsid w:val="00592C49"/>
    <w:rsid w:val="00592D7B"/>
    <w:rsid w:val="00593871"/>
    <w:rsid w:val="00597DB2"/>
    <w:rsid w:val="005B3F20"/>
    <w:rsid w:val="005C14C7"/>
    <w:rsid w:val="005C23EE"/>
    <w:rsid w:val="005C58F9"/>
    <w:rsid w:val="005D19A0"/>
    <w:rsid w:val="005E112F"/>
    <w:rsid w:val="005E53F2"/>
    <w:rsid w:val="005E6F7D"/>
    <w:rsid w:val="005E795B"/>
    <w:rsid w:val="005E7C99"/>
    <w:rsid w:val="005F7159"/>
    <w:rsid w:val="006128F1"/>
    <w:rsid w:val="00612C9D"/>
    <w:rsid w:val="00613B32"/>
    <w:rsid w:val="00613CD3"/>
    <w:rsid w:val="00627005"/>
    <w:rsid w:val="00630B59"/>
    <w:rsid w:val="00635D7C"/>
    <w:rsid w:val="00635DB1"/>
    <w:rsid w:val="006406F8"/>
    <w:rsid w:val="00644055"/>
    <w:rsid w:val="006440F8"/>
    <w:rsid w:val="00651DBD"/>
    <w:rsid w:val="006532F8"/>
    <w:rsid w:val="00656EFB"/>
    <w:rsid w:val="00657506"/>
    <w:rsid w:val="00661BF1"/>
    <w:rsid w:val="006654D8"/>
    <w:rsid w:val="006655D2"/>
    <w:rsid w:val="00666982"/>
    <w:rsid w:val="00692511"/>
    <w:rsid w:val="006A2973"/>
    <w:rsid w:val="006A5378"/>
    <w:rsid w:val="006A6F70"/>
    <w:rsid w:val="006B043B"/>
    <w:rsid w:val="006B303A"/>
    <w:rsid w:val="006B707E"/>
    <w:rsid w:val="006D5EC1"/>
    <w:rsid w:val="006D656B"/>
    <w:rsid w:val="006E1203"/>
    <w:rsid w:val="006F45C8"/>
    <w:rsid w:val="006F60E9"/>
    <w:rsid w:val="006F77C3"/>
    <w:rsid w:val="00700FDA"/>
    <w:rsid w:val="00701FAE"/>
    <w:rsid w:val="00713B22"/>
    <w:rsid w:val="007206AF"/>
    <w:rsid w:val="0073200F"/>
    <w:rsid w:val="007379AD"/>
    <w:rsid w:val="0075713E"/>
    <w:rsid w:val="00761B0E"/>
    <w:rsid w:val="00795AE6"/>
    <w:rsid w:val="00796122"/>
    <w:rsid w:val="007A4B12"/>
    <w:rsid w:val="007A5F4C"/>
    <w:rsid w:val="007A646C"/>
    <w:rsid w:val="007B0000"/>
    <w:rsid w:val="007C35FB"/>
    <w:rsid w:val="007C58BC"/>
    <w:rsid w:val="007C68D2"/>
    <w:rsid w:val="007D0114"/>
    <w:rsid w:val="007E0AF0"/>
    <w:rsid w:val="007E6A6A"/>
    <w:rsid w:val="0080016A"/>
    <w:rsid w:val="00816F72"/>
    <w:rsid w:val="00817F0C"/>
    <w:rsid w:val="008240A7"/>
    <w:rsid w:val="00827C14"/>
    <w:rsid w:val="00834072"/>
    <w:rsid w:val="008353AD"/>
    <w:rsid w:val="00835C1D"/>
    <w:rsid w:val="00837AF9"/>
    <w:rsid w:val="008411BB"/>
    <w:rsid w:val="00853B00"/>
    <w:rsid w:val="00865B62"/>
    <w:rsid w:val="0087225E"/>
    <w:rsid w:val="00891242"/>
    <w:rsid w:val="0089284E"/>
    <w:rsid w:val="008932D4"/>
    <w:rsid w:val="00893DA1"/>
    <w:rsid w:val="008A6C6F"/>
    <w:rsid w:val="008A74CF"/>
    <w:rsid w:val="008C43FC"/>
    <w:rsid w:val="008C7A93"/>
    <w:rsid w:val="008D34F6"/>
    <w:rsid w:val="008D5E09"/>
    <w:rsid w:val="008E18A7"/>
    <w:rsid w:val="008E34A8"/>
    <w:rsid w:val="008E5727"/>
    <w:rsid w:val="008F2340"/>
    <w:rsid w:val="008F4C08"/>
    <w:rsid w:val="008F4D83"/>
    <w:rsid w:val="009030BD"/>
    <w:rsid w:val="00905FC5"/>
    <w:rsid w:val="00907219"/>
    <w:rsid w:val="009127AD"/>
    <w:rsid w:val="00925E09"/>
    <w:rsid w:val="00931F80"/>
    <w:rsid w:val="00933C1A"/>
    <w:rsid w:val="009344E9"/>
    <w:rsid w:val="00935544"/>
    <w:rsid w:val="00953748"/>
    <w:rsid w:val="00955237"/>
    <w:rsid w:val="00957545"/>
    <w:rsid w:val="00964042"/>
    <w:rsid w:val="009642B7"/>
    <w:rsid w:val="00964AC1"/>
    <w:rsid w:val="009651F5"/>
    <w:rsid w:val="00970EAA"/>
    <w:rsid w:val="009738F5"/>
    <w:rsid w:val="00974095"/>
    <w:rsid w:val="00976BC2"/>
    <w:rsid w:val="00981A36"/>
    <w:rsid w:val="00981F69"/>
    <w:rsid w:val="009A2209"/>
    <w:rsid w:val="009B5373"/>
    <w:rsid w:val="009D3345"/>
    <w:rsid w:val="009D4176"/>
    <w:rsid w:val="009E02CF"/>
    <w:rsid w:val="009E04E2"/>
    <w:rsid w:val="009E3AC4"/>
    <w:rsid w:val="009E463C"/>
    <w:rsid w:val="009F01F6"/>
    <w:rsid w:val="009F16CA"/>
    <w:rsid w:val="009F435E"/>
    <w:rsid w:val="00A00F4B"/>
    <w:rsid w:val="00A01CA8"/>
    <w:rsid w:val="00A16686"/>
    <w:rsid w:val="00A56E62"/>
    <w:rsid w:val="00A57F1D"/>
    <w:rsid w:val="00A62295"/>
    <w:rsid w:val="00A635A1"/>
    <w:rsid w:val="00A7643E"/>
    <w:rsid w:val="00A77422"/>
    <w:rsid w:val="00A9695A"/>
    <w:rsid w:val="00AA7FCB"/>
    <w:rsid w:val="00AB455B"/>
    <w:rsid w:val="00AC1B0F"/>
    <w:rsid w:val="00AC6CBB"/>
    <w:rsid w:val="00AC7574"/>
    <w:rsid w:val="00AC7A8F"/>
    <w:rsid w:val="00AC7B4B"/>
    <w:rsid w:val="00AD05F1"/>
    <w:rsid w:val="00AD150E"/>
    <w:rsid w:val="00AD3D44"/>
    <w:rsid w:val="00AD54CE"/>
    <w:rsid w:val="00AE5558"/>
    <w:rsid w:val="00AF521F"/>
    <w:rsid w:val="00B01F68"/>
    <w:rsid w:val="00B05893"/>
    <w:rsid w:val="00B10BF3"/>
    <w:rsid w:val="00B11981"/>
    <w:rsid w:val="00B16340"/>
    <w:rsid w:val="00B24BE5"/>
    <w:rsid w:val="00B25674"/>
    <w:rsid w:val="00B31706"/>
    <w:rsid w:val="00B319D3"/>
    <w:rsid w:val="00B32F4A"/>
    <w:rsid w:val="00B33612"/>
    <w:rsid w:val="00B4184A"/>
    <w:rsid w:val="00B42F6C"/>
    <w:rsid w:val="00B431F3"/>
    <w:rsid w:val="00B46A10"/>
    <w:rsid w:val="00B51232"/>
    <w:rsid w:val="00B7017E"/>
    <w:rsid w:val="00B81C0D"/>
    <w:rsid w:val="00B83DB5"/>
    <w:rsid w:val="00B83F5A"/>
    <w:rsid w:val="00B852B0"/>
    <w:rsid w:val="00B93F34"/>
    <w:rsid w:val="00B9568A"/>
    <w:rsid w:val="00BA1F08"/>
    <w:rsid w:val="00BA3D0F"/>
    <w:rsid w:val="00BA51F1"/>
    <w:rsid w:val="00BD25D1"/>
    <w:rsid w:val="00BD465D"/>
    <w:rsid w:val="00BE4ECE"/>
    <w:rsid w:val="00BE59DA"/>
    <w:rsid w:val="00C05162"/>
    <w:rsid w:val="00C11566"/>
    <w:rsid w:val="00C142EC"/>
    <w:rsid w:val="00C155FE"/>
    <w:rsid w:val="00C359CC"/>
    <w:rsid w:val="00C44531"/>
    <w:rsid w:val="00C51995"/>
    <w:rsid w:val="00C54E38"/>
    <w:rsid w:val="00C6345A"/>
    <w:rsid w:val="00C679F9"/>
    <w:rsid w:val="00C704F6"/>
    <w:rsid w:val="00C8198B"/>
    <w:rsid w:val="00C91864"/>
    <w:rsid w:val="00C93E54"/>
    <w:rsid w:val="00C94876"/>
    <w:rsid w:val="00C973F6"/>
    <w:rsid w:val="00CA0740"/>
    <w:rsid w:val="00CA3D42"/>
    <w:rsid w:val="00CA64F9"/>
    <w:rsid w:val="00CB5FF5"/>
    <w:rsid w:val="00CB6561"/>
    <w:rsid w:val="00CB734F"/>
    <w:rsid w:val="00CC0462"/>
    <w:rsid w:val="00CC2DE5"/>
    <w:rsid w:val="00CC624E"/>
    <w:rsid w:val="00CD4068"/>
    <w:rsid w:val="00CD71D1"/>
    <w:rsid w:val="00CE0C9A"/>
    <w:rsid w:val="00CF64E9"/>
    <w:rsid w:val="00D057F5"/>
    <w:rsid w:val="00D314F0"/>
    <w:rsid w:val="00D3470B"/>
    <w:rsid w:val="00D35D80"/>
    <w:rsid w:val="00D3769A"/>
    <w:rsid w:val="00D450DE"/>
    <w:rsid w:val="00D47356"/>
    <w:rsid w:val="00D55D84"/>
    <w:rsid w:val="00D571E4"/>
    <w:rsid w:val="00D6771F"/>
    <w:rsid w:val="00D75B8F"/>
    <w:rsid w:val="00D77977"/>
    <w:rsid w:val="00D9552C"/>
    <w:rsid w:val="00DA2884"/>
    <w:rsid w:val="00DB5969"/>
    <w:rsid w:val="00DB72E5"/>
    <w:rsid w:val="00DC360D"/>
    <w:rsid w:val="00DC5FB1"/>
    <w:rsid w:val="00DD2995"/>
    <w:rsid w:val="00DE15F3"/>
    <w:rsid w:val="00DE1965"/>
    <w:rsid w:val="00DF1530"/>
    <w:rsid w:val="00DF7C45"/>
    <w:rsid w:val="00E01917"/>
    <w:rsid w:val="00E04D7F"/>
    <w:rsid w:val="00E07155"/>
    <w:rsid w:val="00E3075C"/>
    <w:rsid w:val="00E3559A"/>
    <w:rsid w:val="00E359BA"/>
    <w:rsid w:val="00E45408"/>
    <w:rsid w:val="00E46EA1"/>
    <w:rsid w:val="00E50FC0"/>
    <w:rsid w:val="00E517E5"/>
    <w:rsid w:val="00E535EB"/>
    <w:rsid w:val="00E5709C"/>
    <w:rsid w:val="00E57A1C"/>
    <w:rsid w:val="00E57DD8"/>
    <w:rsid w:val="00E66930"/>
    <w:rsid w:val="00E72B86"/>
    <w:rsid w:val="00E803F4"/>
    <w:rsid w:val="00E846EC"/>
    <w:rsid w:val="00E90EF9"/>
    <w:rsid w:val="00E92D5B"/>
    <w:rsid w:val="00E9364C"/>
    <w:rsid w:val="00E93D9B"/>
    <w:rsid w:val="00EB1372"/>
    <w:rsid w:val="00EB7266"/>
    <w:rsid w:val="00EC03E6"/>
    <w:rsid w:val="00EC0A3A"/>
    <w:rsid w:val="00ED6915"/>
    <w:rsid w:val="00EE50C3"/>
    <w:rsid w:val="00EF4486"/>
    <w:rsid w:val="00EF70CC"/>
    <w:rsid w:val="00F06E84"/>
    <w:rsid w:val="00F14910"/>
    <w:rsid w:val="00F17D59"/>
    <w:rsid w:val="00F27148"/>
    <w:rsid w:val="00F30719"/>
    <w:rsid w:val="00F3437F"/>
    <w:rsid w:val="00F3514D"/>
    <w:rsid w:val="00F506EB"/>
    <w:rsid w:val="00F54668"/>
    <w:rsid w:val="00F57C77"/>
    <w:rsid w:val="00F57F57"/>
    <w:rsid w:val="00F736B7"/>
    <w:rsid w:val="00F84433"/>
    <w:rsid w:val="00F87958"/>
    <w:rsid w:val="00F936ED"/>
    <w:rsid w:val="00FB36C7"/>
    <w:rsid w:val="00FB3D1A"/>
    <w:rsid w:val="00FB68A3"/>
    <w:rsid w:val="00FC2AF6"/>
    <w:rsid w:val="00FD401B"/>
    <w:rsid w:val="00FE69BF"/>
    <w:rsid w:val="00FF2A54"/>
    <w:rsid w:val="00FF5A6B"/>
    <w:rsid w:val="00FF7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iPriority="99" w:unhideWhenUsed="1"/>
    <w:lsdException w:name="page number" w:uiPriority="99" w:unhideWhenUsed="1"/>
    <w:lsdException w:name="endnote reference" w:uiPriority="99"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99"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iPriority="99"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iPriority="99" w:unhideWhenUsed="1"/>
    <w:lsdException w:name="HTML Address" w:unhideWhenUsed="1"/>
    <w:lsdException w:name="HTML Cite" w:uiPriority="99" w:unhideWhenUsed="1"/>
    <w:lsdException w:name="HTML Code" w:uiPriority="99" w:unhideWhenUsed="1"/>
    <w:lsdException w:name="HTML Definition" w:uiPriority="99" w:unhideWhenUsed="1"/>
    <w:lsdException w:name="HTML Keyboard" w:uiPriority="99" w:unhideWhenUsed="1"/>
    <w:lsdException w:name="HTML Preformatted" w:unhideWhenUsed="1"/>
    <w:lsdException w:name="HTML Sample" w:uiPriority="99" w:unhideWhenUsed="1"/>
    <w:lsdException w:name="HTML Typewriter" w:uiPriority="99" w:unhideWhenUsed="1"/>
    <w:lsdException w:name="HTML Variable" w:uiPriority="99"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nhideWhenUsed="1"/>
    <w:lsdException w:name="Table Grid" w:semiHidden="0" w:uiPriority="59"/>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8C7A93"/>
    <w:pPr>
      <w:tabs>
        <w:tab w:val="left" w:pos="850"/>
        <w:tab w:val="left" w:pos="1191"/>
        <w:tab w:val="left" w:pos="1531"/>
      </w:tabs>
      <w:jc w:val="both"/>
    </w:pPr>
    <w:rPr>
      <w:sz w:val="22"/>
      <w:szCs w:val="22"/>
      <w:lang w:val="en-GB" w:eastAsia="zh-CN"/>
    </w:rPr>
  </w:style>
  <w:style w:type="paragraph" w:styleId="1">
    <w:name w:val="heading 1"/>
    <w:basedOn w:val="a1"/>
    <w:next w:val="Num-DocParagraph"/>
    <w:link w:val="10"/>
    <w:qFormat/>
    <w:rsid w:val="00046175"/>
    <w:pPr>
      <w:keepNext/>
      <w:spacing w:before="1200" w:after="720"/>
      <w:jc w:val="center"/>
      <w:outlineLvl w:val="0"/>
    </w:pPr>
    <w:rPr>
      <w:b/>
      <w:bCs/>
      <w:caps/>
      <w:kern w:val="28"/>
    </w:rPr>
  </w:style>
  <w:style w:type="paragraph" w:styleId="21">
    <w:name w:val="heading 2"/>
    <w:basedOn w:val="a1"/>
    <w:next w:val="Num-DocParagraph"/>
    <w:link w:val="22"/>
    <w:qFormat/>
    <w:rsid w:val="00046175"/>
    <w:pPr>
      <w:keepNext/>
      <w:spacing w:before="240" w:after="240"/>
      <w:outlineLvl w:val="1"/>
    </w:pPr>
    <w:rPr>
      <w:b/>
      <w:bCs/>
    </w:rPr>
  </w:style>
  <w:style w:type="paragraph" w:styleId="31">
    <w:name w:val="heading 3"/>
    <w:basedOn w:val="a1"/>
    <w:next w:val="Num-DocParagraph"/>
    <w:link w:val="32"/>
    <w:qFormat/>
    <w:rsid w:val="00046175"/>
    <w:pPr>
      <w:keepNext/>
      <w:spacing w:before="240" w:after="240"/>
      <w:outlineLvl w:val="2"/>
    </w:pPr>
    <w:rPr>
      <w:b/>
      <w:bCs/>
      <w:i/>
      <w:iCs/>
    </w:rPr>
  </w:style>
  <w:style w:type="paragraph" w:styleId="41">
    <w:name w:val="heading 4"/>
    <w:basedOn w:val="a1"/>
    <w:next w:val="Num-DocParagraph"/>
    <w:link w:val="42"/>
    <w:qFormat/>
    <w:rsid w:val="00046175"/>
    <w:pPr>
      <w:keepNext/>
      <w:spacing w:before="240" w:after="240"/>
      <w:outlineLvl w:val="3"/>
    </w:pPr>
    <w:rPr>
      <w:i/>
      <w:iCs/>
    </w:rPr>
  </w:style>
  <w:style w:type="paragraph" w:styleId="51">
    <w:name w:val="heading 5"/>
    <w:basedOn w:val="a1"/>
    <w:next w:val="Num-DocParagraph"/>
    <w:link w:val="52"/>
    <w:qFormat/>
    <w:rsid w:val="00046175"/>
    <w:pPr>
      <w:spacing w:before="240" w:after="240"/>
      <w:outlineLvl w:val="4"/>
    </w:pPr>
  </w:style>
  <w:style w:type="paragraph" w:styleId="6">
    <w:name w:val="heading 6"/>
    <w:basedOn w:val="a1"/>
    <w:next w:val="a1"/>
    <w:link w:val="60"/>
    <w:qFormat/>
    <w:rsid w:val="00046175"/>
    <w:pPr>
      <w:spacing w:before="240" w:after="60"/>
      <w:outlineLvl w:val="5"/>
    </w:pPr>
    <w:rPr>
      <w:b/>
      <w:bCs/>
    </w:rPr>
  </w:style>
  <w:style w:type="paragraph" w:styleId="7">
    <w:name w:val="heading 7"/>
    <w:basedOn w:val="a1"/>
    <w:next w:val="a1"/>
    <w:link w:val="70"/>
    <w:qFormat/>
    <w:rsid w:val="00046175"/>
    <w:pPr>
      <w:spacing w:before="240" w:after="60"/>
      <w:outlineLvl w:val="6"/>
    </w:pPr>
    <w:rPr>
      <w:sz w:val="24"/>
      <w:szCs w:val="24"/>
    </w:rPr>
  </w:style>
  <w:style w:type="paragraph" w:styleId="8">
    <w:name w:val="heading 8"/>
    <w:basedOn w:val="a1"/>
    <w:next w:val="a1"/>
    <w:link w:val="80"/>
    <w:qFormat/>
    <w:rsid w:val="00046175"/>
    <w:pPr>
      <w:spacing w:before="240" w:after="60"/>
      <w:outlineLvl w:val="7"/>
    </w:pPr>
    <w:rPr>
      <w:i/>
      <w:iCs/>
      <w:sz w:val="24"/>
      <w:szCs w:val="24"/>
    </w:rPr>
  </w:style>
  <w:style w:type="paragraph" w:styleId="9">
    <w:name w:val="heading 9"/>
    <w:basedOn w:val="a1"/>
    <w:next w:val="a1"/>
    <w:link w:val="90"/>
    <w:qFormat/>
    <w:rsid w:val="00046175"/>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nnexHeading">
    <w:name w:val="Annex Heading"/>
    <w:basedOn w:val="a1"/>
    <w:next w:val="a5"/>
    <w:rsid w:val="00046175"/>
    <w:pPr>
      <w:keepNext/>
      <w:spacing w:before="1200" w:after="720"/>
      <w:jc w:val="center"/>
    </w:pPr>
    <w:rPr>
      <w:b/>
      <w:bCs/>
      <w:caps/>
    </w:rPr>
  </w:style>
  <w:style w:type="paragraph" w:styleId="a5">
    <w:name w:val="Body Text"/>
    <w:aliases w:val="Body Text Char Char"/>
    <w:basedOn w:val="a1"/>
    <w:link w:val="a6"/>
    <w:qFormat/>
    <w:rsid w:val="00046175"/>
    <w:pPr>
      <w:spacing w:after="240"/>
      <w:ind w:firstLine="442"/>
    </w:pPr>
  </w:style>
  <w:style w:type="paragraph" w:customStyle="1" w:styleId="Annotation">
    <w:name w:val="Annotation"/>
    <w:basedOn w:val="a5"/>
    <w:rsid w:val="00046175"/>
    <w:pPr>
      <w:ind w:firstLine="0"/>
      <w:jc w:val="left"/>
    </w:pPr>
    <w:rPr>
      <w:b/>
      <w:bCs/>
      <w:i/>
      <w:iCs/>
    </w:rPr>
  </w:style>
  <w:style w:type="paragraph" w:customStyle="1" w:styleId="AppendixHeading">
    <w:name w:val="Appendix Heading"/>
    <w:basedOn w:val="a1"/>
    <w:next w:val="a5"/>
    <w:rsid w:val="00046175"/>
    <w:pPr>
      <w:keepNext/>
      <w:spacing w:before="1200" w:after="720"/>
      <w:jc w:val="center"/>
    </w:pPr>
    <w:rPr>
      <w:b/>
      <w:bCs/>
      <w:caps/>
    </w:rPr>
  </w:style>
  <w:style w:type="paragraph" w:customStyle="1" w:styleId="Biblio-Entry">
    <w:name w:val="Biblio-Entry"/>
    <w:basedOn w:val="a5"/>
    <w:link w:val="Biblio-EntryChar"/>
    <w:qFormat/>
    <w:rsid w:val="00046175"/>
    <w:pPr>
      <w:ind w:left="567" w:hanging="567"/>
      <w:jc w:val="left"/>
    </w:pPr>
  </w:style>
  <w:style w:type="paragraph" w:customStyle="1" w:styleId="BibliographyHeading">
    <w:name w:val="Bibliography Heading"/>
    <w:basedOn w:val="a1"/>
    <w:next w:val="Biblio-Entry"/>
    <w:rsid w:val="00046175"/>
    <w:pPr>
      <w:keepNext/>
      <w:spacing w:before="1200" w:after="720"/>
      <w:jc w:val="center"/>
    </w:pPr>
    <w:rPr>
      <w:b/>
      <w:bCs/>
      <w:caps/>
    </w:rPr>
  </w:style>
  <w:style w:type="paragraph" w:customStyle="1" w:styleId="BoxHeading">
    <w:name w:val="Box Heading"/>
    <w:basedOn w:val="a1"/>
    <w:next w:val="BoxBodyText"/>
    <w:qFormat/>
    <w:rsid w:val="00046175"/>
    <w:pPr>
      <w:spacing w:before="240" w:after="240"/>
      <w:jc w:val="center"/>
    </w:pPr>
    <w:rPr>
      <w:rFonts w:ascii="Arial" w:hAnsi="Arial" w:cs="Arial"/>
      <w:b/>
      <w:bCs/>
      <w:sz w:val="18"/>
    </w:rPr>
  </w:style>
  <w:style w:type="paragraph" w:customStyle="1" w:styleId="Cell">
    <w:name w:val="Cell"/>
    <w:basedOn w:val="a1"/>
    <w:rsid w:val="00046175"/>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a1"/>
    <w:rsid w:val="00046175"/>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a1"/>
    <w:next w:val="a5"/>
    <w:rsid w:val="00046175"/>
    <w:pPr>
      <w:keepNext/>
      <w:spacing w:before="1200" w:after="720"/>
      <w:jc w:val="center"/>
    </w:pPr>
    <w:rPr>
      <w:b/>
      <w:bCs/>
      <w:caps/>
    </w:rPr>
  </w:style>
  <w:style w:type="paragraph" w:customStyle="1" w:styleId="DefinitionList">
    <w:name w:val="Definition List"/>
    <w:basedOn w:val="a5"/>
    <w:rsid w:val="00046175"/>
    <w:pPr>
      <w:tabs>
        <w:tab w:val="clear" w:pos="850"/>
        <w:tab w:val="clear" w:pos="1191"/>
        <w:tab w:val="clear" w:pos="1531"/>
      </w:tabs>
      <w:ind w:left="1984" w:hanging="1984"/>
      <w:jc w:val="center"/>
    </w:pPr>
  </w:style>
  <w:style w:type="paragraph" w:styleId="a7">
    <w:name w:val="endnote text"/>
    <w:basedOn w:val="a1"/>
    <w:link w:val="a8"/>
    <w:semiHidden/>
    <w:rsid w:val="00046175"/>
    <w:pPr>
      <w:spacing w:after="240"/>
      <w:ind w:left="850" w:hanging="850"/>
    </w:pPr>
    <w:rPr>
      <w:sz w:val="20"/>
      <w:szCs w:val="20"/>
    </w:rPr>
  </w:style>
  <w:style w:type="paragraph" w:customStyle="1" w:styleId="EndnotesHeading">
    <w:name w:val="Endnotes Heading"/>
    <w:basedOn w:val="a1"/>
    <w:next w:val="a5"/>
    <w:rsid w:val="00046175"/>
    <w:pPr>
      <w:keepNext/>
      <w:spacing w:before="1200" w:after="480"/>
      <w:jc w:val="center"/>
    </w:pPr>
    <w:rPr>
      <w:b/>
      <w:bCs/>
      <w:caps/>
    </w:rPr>
  </w:style>
  <w:style w:type="paragraph" w:customStyle="1" w:styleId="ExecutiveSummaryHeading">
    <w:name w:val="Executive Summary Heading"/>
    <w:basedOn w:val="a1"/>
    <w:next w:val="a5"/>
    <w:rsid w:val="00046175"/>
    <w:pPr>
      <w:keepNext/>
      <w:spacing w:before="1200" w:after="720"/>
      <w:jc w:val="center"/>
    </w:pPr>
    <w:rPr>
      <w:b/>
      <w:bCs/>
      <w:caps/>
    </w:rPr>
  </w:style>
  <w:style w:type="paragraph" w:customStyle="1" w:styleId="FigureNote">
    <w:name w:val="Figure Note"/>
    <w:basedOn w:val="a1"/>
    <w:rsid w:val="00046175"/>
    <w:pPr>
      <w:spacing w:after="120"/>
    </w:pPr>
    <w:rPr>
      <w:rFonts w:ascii="Arial" w:hAnsi="Arial" w:cs="Arial"/>
      <w:sz w:val="16"/>
      <w:szCs w:val="18"/>
    </w:rPr>
  </w:style>
  <w:style w:type="paragraph" w:customStyle="1" w:styleId="FigureSub-title">
    <w:name w:val="Figure Sub-title"/>
    <w:basedOn w:val="a1"/>
    <w:rsid w:val="00046175"/>
    <w:pPr>
      <w:keepNext/>
      <w:spacing w:after="120"/>
      <w:jc w:val="center"/>
    </w:pPr>
    <w:rPr>
      <w:rFonts w:ascii="Arial" w:hAnsi="Arial" w:cs="Arial"/>
      <w:sz w:val="18"/>
    </w:rPr>
  </w:style>
  <w:style w:type="paragraph" w:customStyle="1" w:styleId="FigureTitle">
    <w:name w:val="Figure Title"/>
    <w:basedOn w:val="a1"/>
    <w:next w:val="FigureSub-title"/>
    <w:rsid w:val="00046175"/>
    <w:pPr>
      <w:keepNext/>
      <w:spacing w:after="240"/>
      <w:jc w:val="center"/>
    </w:pPr>
    <w:rPr>
      <w:rFonts w:ascii="Arial" w:hAnsi="Arial" w:cs="Arial"/>
      <w:b/>
      <w:bCs/>
      <w:sz w:val="18"/>
    </w:rPr>
  </w:style>
  <w:style w:type="character" w:styleId="a9">
    <w:name w:val="footnote reference"/>
    <w:basedOn w:val="a2"/>
    <w:rsid w:val="00046175"/>
    <w:rPr>
      <w:vertAlign w:val="superscript"/>
    </w:rPr>
  </w:style>
  <w:style w:type="paragraph" w:styleId="aa">
    <w:name w:val="footnote text"/>
    <w:aliases w:val="Podrozdział,single space,footnote text"/>
    <w:basedOn w:val="a1"/>
    <w:link w:val="ab"/>
    <w:rsid w:val="00046175"/>
    <w:pPr>
      <w:spacing w:after="120"/>
      <w:ind w:left="850" w:hanging="850"/>
    </w:pPr>
    <w:rPr>
      <w:sz w:val="20"/>
      <w:szCs w:val="20"/>
    </w:rPr>
  </w:style>
  <w:style w:type="paragraph" w:customStyle="1" w:styleId="ForewordHeading">
    <w:name w:val="Foreword Heading"/>
    <w:basedOn w:val="a1"/>
    <w:next w:val="a5"/>
    <w:rsid w:val="00046175"/>
    <w:pPr>
      <w:keepNext/>
      <w:spacing w:before="1200" w:after="720"/>
      <w:jc w:val="center"/>
    </w:pPr>
    <w:rPr>
      <w:b/>
      <w:bCs/>
      <w:caps/>
    </w:rPr>
  </w:style>
  <w:style w:type="paragraph" w:customStyle="1" w:styleId="GlossaryHeading">
    <w:name w:val="Glossary Heading"/>
    <w:basedOn w:val="a1"/>
    <w:next w:val="a5"/>
    <w:rsid w:val="00046175"/>
    <w:pPr>
      <w:keepNext/>
      <w:spacing w:before="1200" w:after="720"/>
      <w:jc w:val="center"/>
    </w:pPr>
    <w:rPr>
      <w:b/>
      <w:bCs/>
      <w:caps/>
    </w:rPr>
  </w:style>
  <w:style w:type="paragraph" w:customStyle="1" w:styleId="Graphic">
    <w:name w:val="Graphic"/>
    <w:basedOn w:val="a1"/>
    <w:next w:val="a5"/>
    <w:rsid w:val="00046175"/>
    <w:pPr>
      <w:spacing w:after="240"/>
      <w:jc w:val="center"/>
    </w:pPr>
  </w:style>
  <w:style w:type="paragraph" w:customStyle="1" w:styleId="HiddenText">
    <w:name w:val="Hidden Text"/>
    <w:basedOn w:val="a5"/>
    <w:rsid w:val="00046175"/>
    <w:pPr>
      <w:keepNext/>
      <w:spacing w:after="0"/>
      <w:ind w:left="442" w:firstLine="0"/>
    </w:pPr>
    <w:rPr>
      <w:sz w:val="2"/>
      <w:szCs w:val="2"/>
    </w:rPr>
  </w:style>
  <w:style w:type="paragraph" w:customStyle="1" w:styleId="Highlight">
    <w:name w:val="Highlight"/>
    <w:basedOn w:val="a5"/>
    <w:rsid w:val="00046175"/>
    <w:pPr>
      <w:ind w:left="442" w:firstLine="0"/>
    </w:pPr>
    <w:rPr>
      <w:i/>
      <w:iCs/>
    </w:rPr>
  </w:style>
  <w:style w:type="paragraph" w:customStyle="1" w:styleId="HighlightHeading">
    <w:name w:val="Highlight Heading"/>
    <w:basedOn w:val="a1"/>
    <w:next w:val="a5"/>
    <w:rsid w:val="00046175"/>
    <w:pPr>
      <w:keepNext/>
      <w:spacing w:before="1200" w:after="720"/>
      <w:jc w:val="center"/>
    </w:pPr>
    <w:rPr>
      <w:b/>
      <w:bCs/>
      <w:caps/>
    </w:rPr>
  </w:style>
  <w:style w:type="paragraph" w:styleId="11">
    <w:name w:val="index 1"/>
    <w:basedOn w:val="a1"/>
    <w:next w:val="a1"/>
    <w:semiHidden/>
    <w:rsid w:val="00046175"/>
    <w:pPr>
      <w:ind w:left="220" w:hanging="220"/>
    </w:pPr>
  </w:style>
  <w:style w:type="paragraph" w:styleId="ac">
    <w:name w:val="index heading"/>
    <w:basedOn w:val="a1"/>
    <w:next w:val="a5"/>
    <w:semiHidden/>
    <w:rsid w:val="00046175"/>
    <w:pPr>
      <w:keepNext/>
      <w:spacing w:before="1200" w:after="720"/>
      <w:jc w:val="center"/>
    </w:pPr>
    <w:rPr>
      <w:b/>
      <w:bCs/>
      <w:caps/>
    </w:rPr>
  </w:style>
  <w:style w:type="paragraph" w:customStyle="1" w:styleId="IntroductionHeading">
    <w:name w:val="Introduction Heading"/>
    <w:basedOn w:val="a1"/>
    <w:next w:val="a5"/>
    <w:rsid w:val="00046175"/>
    <w:pPr>
      <w:keepNext/>
      <w:spacing w:before="1200" w:after="720"/>
      <w:jc w:val="center"/>
    </w:pPr>
    <w:rPr>
      <w:b/>
      <w:bCs/>
      <w:caps/>
    </w:rPr>
  </w:style>
  <w:style w:type="paragraph" w:styleId="ad">
    <w:name w:val="List"/>
    <w:basedOn w:val="a1"/>
    <w:rsid w:val="00046175"/>
    <w:pPr>
      <w:spacing w:after="240"/>
      <w:ind w:left="850" w:hanging="283"/>
    </w:pPr>
  </w:style>
  <w:style w:type="paragraph" w:styleId="23">
    <w:name w:val="List 2"/>
    <w:basedOn w:val="a1"/>
    <w:rsid w:val="00046175"/>
    <w:pPr>
      <w:spacing w:after="240"/>
      <w:ind w:left="1134" w:hanging="283"/>
    </w:pPr>
  </w:style>
  <w:style w:type="paragraph" w:styleId="33">
    <w:name w:val="List 3"/>
    <w:basedOn w:val="a1"/>
    <w:rsid w:val="00046175"/>
    <w:pPr>
      <w:spacing w:after="240"/>
      <w:ind w:left="1417" w:hanging="283"/>
    </w:pPr>
  </w:style>
  <w:style w:type="paragraph" w:styleId="43">
    <w:name w:val="List 4"/>
    <w:basedOn w:val="a1"/>
    <w:rsid w:val="00046175"/>
    <w:pPr>
      <w:spacing w:after="240"/>
      <w:ind w:left="1701" w:hanging="283"/>
    </w:pPr>
  </w:style>
  <w:style w:type="paragraph" w:styleId="53">
    <w:name w:val="List 5"/>
    <w:basedOn w:val="a1"/>
    <w:rsid w:val="00046175"/>
    <w:pPr>
      <w:spacing w:after="240"/>
      <w:ind w:left="1984" w:hanging="283"/>
    </w:pPr>
  </w:style>
  <w:style w:type="paragraph" w:styleId="a">
    <w:name w:val="List Bullet"/>
    <w:basedOn w:val="a1"/>
    <w:rsid w:val="00046175"/>
    <w:pPr>
      <w:numPr>
        <w:numId w:val="5"/>
      </w:numPr>
      <w:tabs>
        <w:tab w:val="clear" w:pos="1191"/>
        <w:tab w:val="clear" w:pos="1531"/>
      </w:tabs>
      <w:spacing w:after="240"/>
    </w:pPr>
  </w:style>
  <w:style w:type="paragraph" w:styleId="2">
    <w:name w:val="List Bullet 2"/>
    <w:basedOn w:val="a1"/>
    <w:rsid w:val="00046175"/>
    <w:pPr>
      <w:numPr>
        <w:numId w:val="6"/>
      </w:numPr>
      <w:tabs>
        <w:tab w:val="clear" w:pos="850"/>
        <w:tab w:val="clear" w:pos="1531"/>
      </w:tabs>
      <w:spacing w:after="240"/>
    </w:pPr>
  </w:style>
  <w:style w:type="paragraph" w:styleId="30">
    <w:name w:val="List Bullet 3"/>
    <w:basedOn w:val="a1"/>
    <w:rsid w:val="00046175"/>
    <w:pPr>
      <w:numPr>
        <w:numId w:val="7"/>
      </w:numPr>
      <w:tabs>
        <w:tab w:val="clear" w:pos="850"/>
        <w:tab w:val="clear" w:pos="1191"/>
        <w:tab w:val="clear" w:pos="1531"/>
      </w:tabs>
      <w:spacing w:after="240"/>
    </w:pPr>
  </w:style>
  <w:style w:type="paragraph" w:styleId="40">
    <w:name w:val="List Bullet 4"/>
    <w:basedOn w:val="a1"/>
    <w:rsid w:val="00046175"/>
    <w:pPr>
      <w:numPr>
        <w:numId w:val="8"/>
      </w:numPr>
      <w:tabs>
        <w:tab w:val="clear" w:pos="850"/>
        <w:tab w:val="clear" w:pos="1191"/>
        <w:tab w:val="clear" w:pos="1531"/>
      </w:tabs>
      <w:spacing w:after="240"/>
    </w:pPr>
  </w:style>
  <w:style w:type="paragraph" w:styleId="50">
    <w:name w:val="List Bullet 5"/>
    <w:basedOn w:val="a1"/>
    <w:rsid w:val="00046175"/>
    <w:pPr>
      <w:numPr>
        <w:numId w:val="9"/>
      </w:numPr>
      <w:tabs>
        <w:tab w:val="clear" w:pos="850"/>
        <w:tab w:val="clear" w:pos="1191"/>
        <w:tab w:val="clear" w:pos="1531"/>
      </w:tabs>
      <w:spacing w:after="240"/>
    </w:pPr>
  </w:style>
  <w:style w:type="paragraph" w:styleId="ae">
    <w:name w:val="List Continue"/>
    <w:basedOn w:val="a1"/>
    <w:rsid w:val="00046175"/>
    <w:pPr>
      <w:tabs>
        <w:tab w:val="clear" w:pos="850"/>
        <w:tab w:val="clear" w:pos="1191"/>
        <w:tab w:val="clear" w:pos="1531"/>
      </w:tabs>
      <w:spacing w:after="240"/>
      <w:ind w:left="850"/>
    </w:pPr>
  </w:style>
  <w:style w:type="paragraph" w:styleId="24">
    <w:name w:val="List Continue 2"/>
    <w:basedOn w:val="a1"/>
    <w:rsid w:val="00046175"/>
    <w:pPr>
      <w:tabs>
        <w:tab w:val="clear" w:pos="850"/>
        <w:tab w:val="clear" w:pos="1191"/>
        <w:tab w:val="clear" w:pos="1531"/>
      </w:tabs>
      <w:spacing w:after="240"/>
      <w:ind w:left="1191"/>
    </w:pPr>
  </w:style>
  <w:style w:type="paragraph" w:styleId="34">
    <w:name w:val="List Continue 3"/>
    <w:basedOn w:val="a1"/>
    <w:rsid w:val="00046175"/>
    <w:pPr>
      <w:tabs>
        <w:tab w:val="clear" w:pos="850"/>
        <w:tab w:val="clear" w:pos="1191"/>
        <w:tab w:val="clear" w:pos="1531"/>
      </w:tabs>
      <w:spacing w:after="240"/>
      <w:ind w:left="1474"/>
    </w:pPr>
  </w:style>
  <w:style w:type="paragraph" w:styleId="44">
    <w:name w:val="List Continue 4"/>
    <w:basedOn w:val="a1"/>
    <w:rsid w:val="00046175"/>
    <w:pPr>
      <w:tabs>
        <w:tab w:val="clear" w:pos="850"/>
        <w:tab w:val="clear" w:pos="1191"/>
        <w:tab w:val="clear" w:pos="1531"/>
      </w:tabs>
      <w:spacing w:after="240"/>
      <w:ind w:left="1757"/>
    </w:pPr>
  </w:style>
  <w:style w:type="paragraph" w:styleId="54">
    <w:name w:val="List Continue 5"/>
    <w:basedOn w:val="a1"/>
    <w:rsid w:val="00046175"/>
    <w:pPr>
      <w:tabs>
        <w:tab w:val="clear" w:pos="850"/>
        <w:tab w:val="clear" w:pos="1191"/>
        <w:tab w:val="clear" w:pos="1531"/>
      </w:tabs>
      <w:spacing w:after="240"/>
      <w:ind w:left="2041"/>
    </w:pPr>
  </w:style>
  <w:style w:type="paragraph" w:styleId="a0">
    <w:name w:val="List Number"/>
    <w:basedOn w:val="a1"/>
    <w:rsid w:val="00046175"/>
    <w:pPr>
      <w:numPr>
        <w:numId w:val="10"/>
      </w:numPr>
      <w:tabs>
        <w:tab w:val="clear" w:pos="1191"/>
        <w:tab w:val="clear" w:pos="1531"/>
        <w:tab w:val="left" w:pos="1134"/>
      </w:tabs>
      <w:spacing w:after="240"/>
    </w:pPr>
  </w:style>
  <w:style w:type="paragraph" w:styleId="20">
    <w:name w:val="List Number 2"/>
    <w:basedOn w:val="a1"/>
    <w:rsid w:val="00046175"/>
    <w:pPr>
      <w:numPr>
        <w:ilvl w:val="1"/>
        <w:numId w:val="10"/>
      </w:numPr>
      <w:tabs>
        <w:tab w:val="clear" w:pos="850"/>
        <w:tab w:val="clear" w:pos="1531"/>
        <w:tab w:val="left" w:pos="1417"/>
      </w:tabs>
      <w:spacing w:after="240"/>
    </w:pPr>
  </w:style>
  <w:style w:type="paragraph" w:styleId="3">
    <w:name w:val="List Number 3"/>
    <w:basedOn w:val="a1"/>
    <w:rsid w:val="00046175"/>
    <w:pPr>
      <w:numPr>
        <w:ilvl w:val="2"/>
        <w:numId w:val="10"/>
      </w:numPr>
      <w:tabs>
        <w:tab w:val="clear" w:pos="850"/>
        <w:tab w:val="clear" w:pos="1191"/>
        <w:tab w:val="clear" w:pos="1531"/>
        <w:tab w:val="left" w:pos="1701"/>
      </w:tabs>
      <w:spacing w:after="240"/>
    </w:pPr>
  </w:style>
  <w:style w:type="paragraph" w:styleId="4">
    <w:name w:val="List Number 4"/>
    <w:basedOn w:val="a1"/>
    <w:rsid w:val="00046175"/>
    <w:pPr>
      <w:numPr>
        <w:ilvl w:val="3"/>
        <w:numId w:val="10"/>
      </w:numPr>
      <w:tabs>
        <w:tab w:val="clear" w:pos="850"/>
        <w:tab w:val="clear" w:pos="1191"/>
        <w:tab w:val="clear" w:pos="1531"/>
        <w:tab w:val="left" w:pos="1984"/>
      </w:tabs>
      <w:spacing w:after="240"/>
    </w:pPr>
  </w:style>
  <w:style w:type="paragraph" w:styleId="5">
    <w:name w:val="List Number 5"/>
    <w:basedOn w:val="a1"/>
    <w:rsid w:val="00046175"/>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a5"/>
    <w:rsid w:val="00046175"/>
    <w:pPr>
      <w:ind w:firstLine="0"/>
    </w:pPr>
  </w:style>
  <w:style w:type="paragraph" w:customStyle="1" w:styleId="Num-DocParagraph">
    <w:name w:val="Num-Doc Paragraph"/>
    <w:basedOn w:val="a5"/>
    <w:rsid w:val="00046175"/>
    <w:pPr>
      <w:ind w:firstLine="0"/>
    </w:pPr>
  </w:style>
  <w:style w:type="paragraph" w:customStyle="1" w:styleId="PartHeading">
    <w:name w:val="Part Heading"/>
    <w:basedOn w:val="a1"/>
    <w:next w:val="a5"/>
    <w:rsid w:val="00046175"/>
    <w:pPr>
      <w:keepNext/>
      <w:spacing w:before="1200" w:after="720"/>
      <w:jc w:val="center"/>
    </w:pPr>
    <w:rPr>
      <w:b/>
      <w:bCs/>
      <w:caps/>
    </w:rPr>
  </w:style>
  <w:style w:type="paragraph" w:customStyle="1" w:styleId="RowsHeading">
    <w:name w:val="Rows Heading"/>
    <w:basedOn w:val="a1"/>
    <w:rsid w:val="00046175"/>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a1"/>
    <w:next w:val="a5"/>
    <w:rsid w:val="00046175"/>
    <w:pPr>
      <w:spacing w:after="360"/>
    </w:pPr>
    <w:rPr>
      <w:rFonts w:ascii="Arial" w:hAnsi="Arial" w:cs="Arial"/>
      <w:sz w:val="16"/>
      <w:szCs w:val="18"/>
    </w:rPr>
  </w:style>
  <w:style w:type="paragraph" w:customStyle="1" w:styleId="SubHeading">
    <w:name w:val="SubHeading"/>
    <w:basedOn w:val="a5"/>
    <w:rsid w:val="00046175"/>
    <w:pPr>
      <w:ind w:left="442" w:firstLine="0"/>
    </w:pPr>
    <w:rPr>
      <w:i/>
      <w:iCs/>
    </w:rPr>
  </w:style>
  <w:style w:type="paragraph" w:customStyle="1" w:styleId="SummaryHeading">
    <w:name w:val="Summary Heading"/>
    <w:basedOn w:val="a1"/>
    <w:next w:val="a5"/>
    <w:rsid w:val="00046175"/>
    <w:pPr>
      <w:keepNext/>
      <w:spacing w:before="1200" w:after="720"/>
      <w:jc w:val="center"/>
    </w:pPr>
    <w:rPr>
      <w:b/>
      <w:bCs/>
      <w:caps/>
    </w:rPr>
  </w:style>
  <w:style w:type="paragraph" w:customStyle="1" w:styleId="Table">
    <w:name w:val="Table"/>
    <w:basedOn w:val="a1"/>
    <w:next w:val="a5"/>
    <w:rsid w:val="00046175"/>
    <w:pPr>
      <w:spacing w:after="240"/>
      <w:jc w:val="center"/>
    </w:pPr>
  </w:style>
  <w:style w:type="paragraph" w:customStyle="1" w:styleId="TableNote">
    <w:name w:val="Table Note"/>
    <w:basedOn w:val="a1"/>
    <w:rsid w:val="00046175"/>
    <w:pPr>
      <w:spacing w:after="120"/>
      <w:jc w:val="left"/>
    </w:pPr>
    <w:rPr>
      <w:rFonts w:ascii="Arial" w:hAnsi="Arial" w:cs="Arial"/>
      <w:sz w:val="16"/>
      <w:szCs w:val="18"/>
    </w:rPr>
  </w:style>
  <w:style w:type="paragraph" w:customStyle="1" w:styleId="TableofContentsHeading">
    <w:name w:val="Table of Contents Heading"/>
    <w:basedOn w:val="a1"/>
    <w:next w:val="a5"/>
    <w:rsid w:val="00046175"/>
    <w:pPr>
      <w:keepNext/>
      <w:spacing w:before="1200" w:after="720"/>
      <w:jc w:val="center"/>
    </w:pPr>
    <w:rPr>
      <w:b/>
      <w:bCs/>
      <w:caps/>
    </w:rPr>
  </w:style>
  <w:style w:type="paragraph" w:customStyle="1" w:styleId="TableSub-title">
    <w:name w:val="Table Sub-title"/>
    <w:basedOn w:val="a1"/>
    <w:rsid w:val="00046175"/>
    <w:pPr>
      <w:keepNext/>
      <w:spacing w:after="240"/>
      <w:jc w:val="center"/>
    </w:pPr>
    <w:rPr>
      <w:rFonts w:ascii="Arial" w:hAnsi="Arial" w:cs="Arial"/>
      <w:sz w:val="18"/>
    </w:rPr>
  </w:style>
  <w:style w:type="paragraph" w:customStyle="1" w:styleId="TableTitle">
    <w:name w:val="Table Title"/>
    <w:basedOn w:val="a1"/>
    <w:rsid w:val="00046175"/>
    <w:pPr>
      <w:keepNext/>
      <w:spacing w:after="240"/>
      <w:jc w:val="center"/>
    </w:pPr>
    <w:rPr>
      <w:rFonts w:ascii="Arial" w:hAnsi="Arial" w:cs="Arial"/>
      <w:b/>
      <w:bCs/>
      <w:sz w:val="18"/>
    </w:rPr>
  </w:style>
  <w:style w:type="paragraph" w:customStyle="1" w:styleId="TextBox">
    <w:name w:val="Text Box"/>
    <w:basedOn w:val="a5"/>
    <w:rsid w:val="00046175"/>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rsid w:val="00046175"/>
    <w:pPr>
      <w:jc w:val="center"/>
    </w:pPr>
    <w:rPr>
      <w:b/>
      <w:bCs/>
    </w:rPr>
  </w:style>
  <w:style w:type="paragraph" w:styleId="12">
    <w:name w:val="toc 1"/>
    <w:basedOn w:val="a1"/>
    <w:next w:val="a1"/>
    <w:uiPriority w:val="39"/>
    <w:qFormat/>
    <w:rsid w:val="00046175"/>
    <w:pPr>
      <w:tabs>
        <w:tab w:val="clear" w:pos="850"/>
        <w:tab w:val="clear" w:pos="1191"/>
        <w:tab w:val="clear" w:pos="1531"/>
        <w:tab w:val="right" w:leader="dot" w:pos="8504"/>
      </w:tabs>
      <w:spacing w:before="120" w:after="120"/>
    </w:pPr>
    <w:rPr>
      <w:caps/>
    </w:rPr>
  </w:style>
  <w:style w:type="paragraph" w:styleId="25">
    <w:name w:val="toc 2"/>
    <w:basedOn w:val="a1"/>
    <w:next w:val="a1"/>
    <w:uiPriority w:val="39"/>
    <w:qFormat/>
    <w:rsid w:val="00046175"/>
    <w:pPr>
      <w:tabs>
        <w:tab w:val="clear" w:pos="850"/>
        <w:tab w:val="clear" w:pos="1191"/>
        <w:tab w:val="clear" w:pos="1531"/>
        <w:tab w:val="right" w:leader="dot" w:pos="8504"/>
      </w:tabs>
      <w:ind w:left="198"/>
    </w:pPr>
  </w:style>
  <w:style w:type="paragraph" w:styleId="35">
    <w:name w:val="toc 3"/>
    <w:basedOn w:val="a1"/>
    <w:next w:val="a1"/>
    <w:uiPriority w:val="39"/>
    <w:qFormat/>
    <w:rsid w:val="00046175"/>
    <w:pPr>
      <w:tabs>
        <w:tab w:val="clear" w:pos="850"/>
        <w:tab w:val="clear" w:pos="1191"/>
        <w:tab w:val="clear" w:pos="1531"/>
        <w:tab w:val="right" w:leader="dot" w:pos="8504"/>
      </w:tabs>
      <w:ind w:left="397"/>
    </w:pPr>
  </w:style>
  <w:style w:type="paragraph" w:styleId="45">
    <w:name w:val="toc 4"/>
    <w:basedOn w:val="a1"/>
    <w:next w:val="a1"/>
    <w:uiPriority w:val="39"/>
    <w:qFormat/>
    <w:rsid w:val="00046175"/>
    <w:pPr>
      <w:tabs>
        <w:tab w:val="clear" w:pos="850"/>
        <w:tab w:val="clear" w:pos="1191"/>
        <w:tab w:val="clear" w:pos="1531"/>
        <w:tab w:val="right" w:leader="dot" w:pos="8504"/>
      </w:tabs>
      <w:ind w:left="595"/>
    </w:pPr>
    <w:rPr>
      <w:noProof/>
    </w:rPr>
  </w:style>
  <w:style w:type="paragraph" w:styleId="55">
    <w:name w:val="toc 5"/>
    <w:basedOn w:val="a1"/>
    <w:next w:val="a1"/>
    <w:uiPriority w:val="39"/>
    <w:qFormat/>
    <w:rsid w:val="00046175"/>
    <w:pPr>
      <w:tabs>
        <w:tab w:val="clear" w:pos="850"/>
        <w:tab w:val="clear" w:pos="1191"/>
        <w:tab w:val="clear" w:pos="1531"/>
        <w:tab w:val="right" w:leader="dot" w:pos="8504"/>
      </w:tabs>
      <w:ind w:left="794"/>
    </w:pPr>
    <w:rPr>
      <w:noProof/>
    </w:rPr>
  </w:style>
  <w:style w:type="paragraph" w:customStyle="1" w:styleId="IndexHeading1">
    <w:name w:val="Index Heading1"/>
    <w:basedOn w:val="a1"/>
    <w:next w:val="a5"/>
    <w:rsid w:val="00046175"/>
    <w:pPr>
      <w:keepNext/>
      <w:spacing w:before="1200" w:after="720"/>
      <w:jc w:val="center"/>
    </w:pPr>
    <w:rPr>
      <w:b/>
      <w:caps/>
      <w:lang w:val="en-US"/>
    </w:rPr>
  </w:style>
  <w:style w:type="paragraph" w:styleId="af">
    <w:name w:val="Block Text"/>
    <w:basedOn w:val="a1"/>
    <w:rsid w:val="00046175"/>
    <w:pPr>
      <w:spacing w:after="120"/>
      <w:ind w:left="1440" w:right="1440"/>
    </w:pPr>
  </w:style>
  <w:style w:type="paragraph" w:styleId="91">
    <w:name w:val="toc 9"/>
    <w:basedOn w:val="a1"/>
    <w:next w:val="a1"/>
    <w:uiPriority w:val="39"/>
    <w:qFormat/>
    <w:rsid w:val="00046175"/>
    <w:pPr>
      <w:tabs>
        <w:tab w:val="clear" w:pos="850"/>
        <w:tab w:val="clear" w:pos="1191"/>
        <w:tab w:val="clear" w:pos="1531"/>
      </w:tabs>
      <w:ind w:left="1760"/>
    </w:pPr>
  </w:style>
  <w:style w:type="paragraph" w:customStyle="1" w:styleId="Abstract">
    <w:name w:val="Abstract"/>
    <w:basedOn w:val="a5"/>
    <w:rsid w:val="00046175"/>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a5"/>
    <w:rsid w:val="00046175"/>
    <w:pPr>
      <w:ind w:firstLine="0"/>
    </w:pPr>
    <w:rPr>
      <w:lang w:val="en-US"/>
    </w:rPr>
  </w:style>
  <w:style w:type="paragraph" w:customStyle="1" w:styleId="Chart">
    <w:name w:val="Chart"/>
    <w:basedOn w:val="a1"/>
    <w:next w:val="a5"/>
    <w:rsid w:val="00046175"/>
    <w:pPr>
      <w:spacing w:after="240"/>
      <w:jc w:val="center"/>
    </w:pPr>
    <w:rPr>
      <w:lang w:val="en-US"/>
    </w:rPr>
  </w:style>
  <w:style w:type="paragraph" w:customStyle="1" w:styleId="ChartSub-title">
    <w:name w:val="Chart Sub-title"/>
    <w:basedOn w:val="a1"/>
    <w:rsid w:val="00046175"/>
    <w:pPr>
      <w:keepNext/>
      <w:spacing w:after="120"/>
      <w:jc w:val="center"/>
    </w:pPr>
    <w:rPr>
      <w:rFonts w:ascii="Arial" w:hAnsi="Arial" w:cs="Arial"/>
      <w:sz w:val="18"/>
      <w:lang w:val="en-US"/>
    </w:rPr>
  </w:style>
  <w:style w:type="paragraph" w:customStyle="1" w:styleId="ChartTitle">
    <w:name w:val="Chart Title"/>
    <w:basedOn w:val="a1"/>
    <w:next w:val="ChartSub-title"/>
    <w:rsid w:val="00046175"/>
    <w:pPr>
      <w:keepNext/>
      <w:spacing w:after="240"/>
      <w:jc w:val="center"/>
    </w:pPr>
    <w:rPr>
      <w:rFonts w:ascii="Arial" w:hAnsi="Arial" w:cs="Arial"/>
      <w:b/>
      <w:sz w:val="18"/>
      <w:lang w:val="en-US"/>
    </w:rPr>
  </w:style>
  <w:style w:type="paragraph" w:customStyle="1" w:styleId="ChartNote">
    <w:name w:val="Chart Note"/>
    <w:basedOn w:val="a1"/>
    <w:rsid w:val="00046175"/>
    <w:pPr>
      <w:spacing w:after="120"/>
      <w:jc w:val="left"/>
    </w:pPr>
    <w:rPr>
      <w:rFonts w:ascii="Arial" w:hAnsi="Arial" w:cs="Arial"/>
      <w:sz w:val="16"/>
      <w:lang w:val="en-US"/>
    </w:rPr>
  </w:style>
  <w:style w:type="paragraph" w:customStyle="1" w:styleId="BoxHeading2">
    <w:name w:val="Box Heading 2"/>
    <w:basedOn w:val="a1"/>
    <w:next w:val="BoxBodyText"/>
    <w:rsid w:val="00046175"/>
    <w:pPr>
      <w:spacing w:before="240" w:after="240"/>
      <w:jc w:val="left"/>
    </w:pPr>
    <w:rPr>
      <w:rFonts w:ascii="Arial" w:hAnsi="Arial" w:cs="Arial"/>
      <w:b/>
      <w:sz w:val="18"/>
      <w:lang w:val="en-US"/>
    </w:rPr>
  </w:style>
  <w:style w:type="paragraph" w:customStyle="1" w:styleId="BoxHeading3">
    <w:name w:val="Box Heading 3"/>
    <w:basedOn w:val="a1"/>
    <w:next w:val="BoxBodyText"/>
    <w:rsid w:val="00046175"/>
    <w:pPr>
      <w:spacing w:before="240" w:after="240"/>
      <w:jc w:val="left"/>
    </w:pPr>
    <w:rPr>
      <w:rFonts w:ascii="Arial" w:hAnsi="Arial" w:cs="Arial"/>
      <w:b/>
      <w:i/>
      <w:sz w:val="18"/>
      <w:lang w:val="en-US"/>
    </w:rPr>
  </w:style>
  <w:style w:type="paragraph" w:customStyle="1" w:styleId="BoxNote">
    <w:name w:val="Box Note"/>
    <w:basedOn w:val="a1"/>
    <w:rsid w:val="00046175"/>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a1"/>
    <w:rsid w:val="00046175"/>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a1"/>
    <w:rsid w:val="00046175"/>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a1"/>
    <w:rsid w:val="00046175"/>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a1"/>
    <w:rsid w:val="00046175"/>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a1"/>
    <w:rsid w:val="00046175"/>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a1"/>
    <w:rsid w:val="00046175"/>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a1"/>
    <w:rsid w:val="00046175"/>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a1"/>
    <w:rsid w:val="00046175"/>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a1"/>
    <w:rsid w:val="00046175"/>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a1"/>
    <w:next w:val="a5"/>
    <w:rsid w:val="00046175"/>
    <w:pPr>
      <w:spacing w:after="360"/>
    </w:pPr>
    <w:rPr>
      <w:rFonts w:ascii="Arial" w:hAnsi="Arial" w:cs="Arial"/>
      <w:sz w:val="16"/>
      <w:lang w:val="en-US"/>
    </w:rPr>
  </w:style>
  <w:style w:type="character" w:customStyle="1" w:styleId="Cote">
    <w:name w:val="Cote"/>
    <w:basedOn w:val="a2"/>
    <w:rsid w:val="00046175"/>
    <w:rPr>
      <w:caps/>
      <w:smallCaps w:val="0"/>
      <w:lang w:val="en-US"/>
    </w:rPr>
  </w:style>
  <w:style w:type="numbering" w:customStyle="1" w:styleId="NumberedNote">
    <w:name w:val="Numbered Note"/>
    <w:basedOn w:val="a4"/>
    <w:rsid w:val="00046175"/>
    <w:pPr>
      <w:numPr>
        <w:numId w:val="1"/>
      </w:numPr>
    </w:pPr>
  </w:style>
  <w:style w:type="numbering" w:customStyle="1" w:styleId="BulletedNote">
    <w:name w:val="Bulleted Note"/>
    <w:basedOn w:val="a4"/>
    <w:rsid w:val="00046175"/>
    <w:pPr>
      <w:numPr>
        <w:numId w:val="2"/>
      </w:numPr>
    </w:pPr>
  </w:style>
  <w:style w:type="numbering" w:customStyle="1" w:styleId="NumericNote">
    <w:name w:val="Numeric Note"/>
    <w:basedOn w:val="a4"/>
    <w:rsid w:val="00046175"/>
    <w:pPr>
      <w:numPr>
        <w:numId w:val="3"/>
      </w:numPr>
    </w:pPr>
  </w:style>
  <w:style w:type="numbering" w:customStyle="1" w:styleId="AlphaNote">
    <w:name w:val="Alpha Note"/>
    <w:basedOn w:val="a4"/>
    <w:rsid w:val="00046175"/>
    <w:pPr>
      <w:numPr>
        <w:numId w:val="4"/>
      </w:numPr>
    </w:pPr>
  </w:style>
  <w:style w:type="paragraph" w:customStyle="1" w:styleId="AcknowledgementHeading">
    <w:name w:val="Acknowledgement Heading"/>
    <w:basedOn w:val="a1"/>
    <w:next w:val="a5"/>
    <w:rsid w:val="00046175"/>
    <w:pPr>
      <w:keepNext/>
      <w:spacing w:before="1200" w:after="720"/>
      <w:jc w:val="center"/>
    </w:pPr>
    <w:rPr>
      <w:b/>
      <w:caps/>
      <w:lang w:val="en-US"/>
    </w:rPr>
  </w:style>
  <w:style w:type="paragraph" w:styleId="af0">
    <w:name w:val="envelope address"/>
    <w:basedOn w:val="a1"/>
    <w:rsid w:val="00046175"/>
    <w:pPr>
      <w:framePr w:w="7938" w:h="1985" w:hRule="exact" w:hSpace="141" w:wrap="auto" w:hAnchor="page" w:xAlign="center" w:yAlign="bottom"/>
      <w:ind w:left="2835"/>
    </w:pPr>
    <w:rPr>
      <w:rFonts w:ascii="Arial" w:hAnsi="Arial" w:cs="Arial"/>
      <w:sz w:val="24"/>
      <w:szCs w:val="24"/>
    </w:rPr>
  </w:style>
  <w:style w:type="paragraph" w:styleId="26">
    <w:name w:val="envelope return"/>
    <w:basedOn w:val="a1"/>
    <w:rsid w:val="00046175"/>
    <w:rPr>
      <w:rFonts w:ascii="Arial" w:hAnsi="Arial" w:cs="Arial"/>
      <w:sz w:val="20"/>
      <w:szCs w:val="20"/>
    </w:rPr>
  </w:style>
  <w:style w:type="paragraph" w:styleId="HTML">
    <w:name w:val="HTML Address"/>
    <w:basedOn w:val="a1"/>
    <w:link w:val="HTML0"/>
    <w:rsid w:val="00046175"/>
    <w:rPr>
      <w:i/>
      <w:iCs/>
    </w:rPr>
  </w:style>
  <w:style w:type="paragraph" w:styleId="af1">
    <w:name w:val="annotation text"/>
    <w:basedOn w:val="a1"/>
    <w:link w:val="af2"/>
    <w:rsid w:val="00046175"/>
    <w:rPr>
      <w:sz w:val="20"/>
      <w:szCs w:val="20"/>
    </w:rPr>
  </w:style>
  <w:style w:type="paragraph" w:styleId="27">
    <w:name w:val="Body Text 2"/>
    <w:basedOn w:val="a1"/>
    <w:link w:val="28"/>
    <w:rsid w:val="00046175"/>
    <w:pPr>
      <w:spacing w:after="120" w:line="480" w:lineRule="auto"/>
    </w:pPr>
  </w:style>
  <w:style w:type="paragraph" w:styleId="36">
    <w:name w:val="Body Text 3"/>
    <w:basedOn w:val="a1"/>
    <w:link w:val="37"/>
    <w:rsid w:val="00046175"/>
    <w:pPr>
      <w:spacing w:after="120"/>
    </w:pPr>
    <w:rPr>
      <w:sz w:val="16"/>
      <w:szCs w:val="16"/>
    </w:rPr>
  </w:style>
  <w:style w:type="paragraph" w:styleId="af3">
    <w:name w:val="Date"/>
    <w:basedOn w:val="a1"/>
    <w:next w:val="a1"/>
    <w:link w:val="af4"/>
    <w:rsid w:val="00046175"/>
  </w:style>
  <w:style w:type="paragraph" w:styleId="af5">
    <w:name w:val="header"/>
    <w:basedOn w:val="a1"/>
    <w:link w:val="af6"/>
    <w:rsid w:val="00046175"/>
    <w:pPr>
      <w:tabs>
        <w:tab w:val="clear" w:pos="850"/>
        <w:tab w:val="clear" w:pos="1191"/>
        <w:tab w:val="clear" w:pos="1531"/>
        <w:tab w:val="center" w:pos="4536"/>
        <w:tab w:val="right" w:pos="9072"/>
      </w:tabs>
    </w:pPr>
  </w:style>
  <w:style w:type="paragraph" w:styleId="af7">
    <w:name w:val="Message Header"/>
    <w:basedOn w:val="a1"/>
    <w:link w:val="af8"/>
    <w:rsid w:val="000461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Document Map"/>
    <w:basedOn w:val="a1"/>
    <w:link w:val="afa"/>
    <w:semiHidden/>
    <w:rsid w:val="00046175"/>
    <w:pPr>
      <w:shd w:val="clear" w:color="auto" w:fill="000080"/>
    </w:pPr>
    <w:rPr>
      <w:rFonts w:ascii="Tahoma" w:hAnsi="Tahoma" w:cs="Tahoma"/>
    </w:rPr>
  </w:style>
  <w:style w:type="paragraph" w:styleId="afb">
    <w:name w:val="Closing"/>
    <w:basedOn w:val="a1"/>
    <w:link w:val="afc"/>
    <w:rsid w:val="00046175"/>
    <w:pPr>
      <w:ind w:left="4252"/>
    </w:pPr>
  </w:style>
  <w:style w:type="paragraph" w:styleId="29">
    <w:name w:val="index 2"/>
    <w:basedOn w:val="a1"/>
    <w:next w:val="a1"/>
    <w:semiHidden/>
    <w:rsid w:val="00046175"/>
    <w:pPr>
      <w:tabs>
        <w:tab w:val="clear" w:pos="850"/>
        <w:tab w:val="clear" w:pos="1191"/>
        <w:tab w:val="clear" w:pos="1531"/>
      </w:tabs>
      <w:ind w:left="440" w:hanging="220"/>
    </w:pPr>
  </w:style>
  <w:style w:type="paragraph" w:styleId="38">
    <w:name w:val="index 3"/>
    <w:basedOn w:val="a1"/>
    <w:next w:val="a1"/>
    <w:semiHidden/>
    <w:rsid w:val="00046175"/>
    <w:pPr>
      <w:tabs>
        <w:tab w:val="clear" w:pos="850"/>
        <w:tab w:val="clear" w:pos="1191"/>
        <w:tab w:val="clear" w:pos="1531"/>
      </w:tabs>
      <w:ind w:left="660" w:hanging="220"/>
    </w:pPr>
  </w:style>
  <w:style w:type="paragraph" w:styleId="46">
    <w:name w:val="index 4"/>
    <w:basedOn w:val="a1"/>
    <w:next w:val="a1"/>
    <w:semiHidden/>
    <w:rsid w:val="00046175"/>
    <w:pPr>
      <w:tabs>
        <w:tab w:val="clear" w:pos="850"/>
        <w:tab w:val="clear" w:pos="1191"/>
        <w:tab w:val="clear" w:pos="1531"/>
      </w:tabs>
      <w:ind w:left="880" w:hanging="220"/>
    </w:pPr>
  </w:style>
  <w:style w:type="paragraph" w:styleId="56">
    <w:name w:val="index 5"/>
    <w:basedOn w:val="a1"/>
    <w:next w:val="a1"/>
    <w:semiHidden/>
    <w:rsid w:val="00046175"/>
    <w:pPr>
      <w:tabs>
        <w:tab w:val="clear" w:pos="850"/>
        <w:tab w:val="clear" w:pos="1191"/>
        <w:tab w:val="clear" w:pos="1531"/>
      </w:tabs>
      <w:ind w:left="1100" w:hanging="220"/>
    </w:pPr>
  </w:style>
  <w:style w:type="paragraph" w:styleId="61">
    <w:name w:val="index 6"/>
    <w:basedOn w:val="a1"/>
    <w:next w:val="a1"/>
    <w:semiHidden/>
    <w:rsid w:val="00046175"/>
    <w:pPr>
      <w:tabs>
        <w:tab w:val="clear" w:pos="850"/>
        <w:tab w:val="clear" w:pos="1191"/>
        <w:tab w:val="clear" w:pos="1531"/>
      </w:tabs>
      <w:ind w:left="1320" w:hanging="220"/>
    </w:pPr>
  </w:style>
  <w:style w:type="paragraph" w:styleId="71">
    <w:name w:val="index 7"/>
    <w:basedOn w:val="a1"/>
    <w:next w:val="a1"/>
    <w:semiHidden/>
    <w:rsid w:val="00046175"/>
    <w:pPr>
      <w:tabs>
        <w:tab w:val="clear" w:pos="850"/>
        <w:tab w:val="clear" w:pos="1191"/>
        <w:tab w:val="clear" w:pos="1531"/>
      </w:tabs>
      <w:ind w:left="1540" w:hanging="220"/>
    </w:pPr>
  </w:style>
  <w:style w:type="paragraph" w:styleId="81">
    <w:name w:val="index 8"/>
    <w:basedOn w:val="a1"/>
    <w:next w:val="a1"/>
    <w:semiHidden/>
    <w:rsid w:val="00046175"/>
    <w:pPr>
      <w:tabs>
        <w:tab w:val="clear" w:pos="850"/>
        <w:tab w:val="clear" w:pos="1191"/>
        <w:tab w:val="clear" w:pos="1531"/>
      </w:tabs>
      <w:ind w:left="1760" w:hanging="220"/>
    </w:pPr>
  </w:style>
  <w:style w:type="paragraph" w:styleId="92">
    <w:name w:val="index 9"/>
    <w:basedOn w:val="a1"/>
    <w:next w:val="a1"/>
    <w:semiHidden/>
    <w:rsid w:val="00046175"/>
    <w:pPr>
      <w:tabs>
        <w:tab w:val="clear" w:pos="850"/>
        <w:tab w:val="clear" w:pos="1191"/>
        <w:tab w:val="clear" w:pos="1531"/>
      </w:tabs>
      <w:ind w:left="1980" w:hanging="220"/>
    </w:pPr>
  </w:style>
  <w:style w:type="paragraph" w:styleId="afd">
    <w:name w:val="caption"/>
    <w:aliases w:val="Caption for me"/>
    <w:basedOn w:val="a1"/>
    <w:next w:val="a1"/>
    <w:qFormat/>
    <w:rsid w:val="00046175"/>
    <w:pPr>
      <w:spacing w:before="120" w:after="120"/>
    </w:pPr>
    <w:rPr>
      <w:b/>
      <w:bCs/>
      <w:sz w:val="20"/>
      <w:szCs w:val="20"/>
    </w:rPr>
  </w:style>
  <w:style w:type="paragraph" w:styleId="afe">
    <w:name w:val="Normal (Web)"/>
    <w:basedOn w:val="a1"/>
    <w:rsid w:val="00046175"/>
    <w:rPr>
      <w:sz w:val="24"/>
      <w:szCs w:val="24"/>
    </w:rPr>
  </w:style>
  <w:style w:type="paragraph" w:styleId="aff">
    <w:name w:val="annotation subject"/>
    <w:basedOn w:val="af1"/>
    <w:next w:val="af1"/>
    <w:link w:val="aff0"/>
    <w:semiHidden/>
    <w:rsid w:val="00046175"/>
    <w:rPr>
      <w:b/>
      <w:bCs/>
    </w:rPr>
  </w:style>
  <w:style w:type="paragraph" w:styleId="aff1">
    <w:name w:val="footer"/>
    <w:basedOn w:val="a1"/>
    <w:link w:val="aff2"/>
    <w:uiPriority w:val="99"/>
    <w:rsid w:val="00046175"/>
    <w:pPr>
      <w:tabs>
        <w:tab w:val="clear" w:pos="850"/>
        <w:tab w:val="clear" w:pos="1191"/>
        <w:tab w:val="clear" w:pos="1531"/>
        <w:tab w:val="center" w:pos="4536"/>
        <w:tab w:val="right" w:pos="9072"/>
      </w:tabs>
    </w:pPr>
  </w:style>
  <w:style w:type="paragraph" w:styleId="HTML1">
    <w:name w:val="HTML Preformatted"/>
    <w:basedOn w:val="a1"/>
    <w:link w:val="HTML2"/>
    <w:rsid w:val="00046175"/>
    <w:rPr>
      <w:rFonts w:ascii="Courier New" w:hAnsi="Courier New" w:cs="Courier New"/>
      <w:sz w:val="20"/>
      <w:szCs w:val="20"/>
    </w:rPr>
  </w:style>
  <w:style w:type="paragraph" w:styleId="aff3">
    <w:name w:val="Body Text First Indent"/>
    <w:basedOn w:val="a5"/>
    <w:link w:val="aff4"/>
    <w:rsid w:val="00046175"/>
    <w:pPr>
      <w:spacing w:after="120"/>
      <w:ind w:firstLine="210"/>
    </w:pPr>
  </w:style>
  <w:style w:type="paragraph" w:styleId="aff5">
    <w:name w:val="Body Text Indent"/>
    <w:basedOn w:val="a1"/>
    <w:link w:val="aff6"/>
    <w:rsid w:val="00046175"/>
    <w:pPr>
      <w:spacing w:after="240"/>
      <w:ind w:left="442"/>
    </w:pPr>
  </w:style>
  <w:style w:type="paragraph" w:styleId="2a">
    <w:name w:val="Body Text Indent 2"/>
    <w:basedOn w:val="a1"/>
    <w:link w:val="2b"/>
    <w:rsid w:val="00046175"/>
    <w:pPr>
      <w:spacing w:after="120" w:line="480" w:lineRule="auto"/>
      <w:ind w:left="283"/>
    </w:pPr>
  </w:style>
  <w:style w:type="paragraph" w:styleId="39">
    <w:name w:val="Body Text Indent 3"/>
    <w:basedOn w:val="a1"/>
    <w:link w:val="3a"/>
    <w:rsid w:val="00046175"/>
    <w:pPr>
      <w:spacing w:after="120"/>
      <w:ind w:left="283"/>
    </w:pPr>
    <w:rPr>
      <w:sz w:val="16"/>
      <w:szCs w:val="16"/>
    </w:rPr>
  </w:style>
  <w:style w:type="paragraph" w:styleId="2c">
    <w:name w:val="Body Text First Indent 2"/>
    <w:basedOn w:val="aff5"/>
    <w:link w:val="2d"/>
    <w:rsid w:val="00046175"/>
    <w:pPr>
      <w:ind w:firstLine="210"/>
    </w:pPr>
  </w:style>
  <w:style w:type="paragraph" w:styleId="aff7">
    <w:name w:val="Normal Indent"/>
    <w:basedOn w:val="a1"/>
    <w:rsid w:val="00046175"/>
    <w:pPr>
      <w:ind w:left="708"/>
    </w:pPr>
  </w:style>
  <w:style w:type="paragraph" w:styleId="aff8">
    <w:name w:val="Salutation"/>
    <w:basedOn w:val="a1"/>
    <w:next w:val="a1"/>
    <w:link w:val="aff9"/>
    <w:rsid w:val="00046175"/>
  </w:style>
  <w:style w:type="paragraph" w:styleId="affa">
    <w:name w:val="Signature"/>
    <w:basedOn w:val="a1"/>
    <w:link w:val="affb"/>
    <w:rsid w:val="00046175"/>
    <w:pPr>
      <w:ind w:left="4252"/>
    </w:pPr>
  </w:style>
  <w:style w:type="paragraph" w:styleId="affc">
    <w:name w:val="E-mail Signature"/>
    <w:basedOn w:val="a1"/>
    <w:link w:val="affd"/>
    <w:rsid w:val="00046175"/>
  </w:style>
  <w:style w:type="paragraph" w:styleId="affe">
    <w:name w:val="Subtitle"/>
    <w:basedOn w:val="a1"/>
    <w:link w:val="afff"/>
    <w:qFormat/>
    <w:rsid w:val="00046175"/>
    <w:pPr>
      <w:spacing w:after="60"/>
      <w:jc w:val="center"/>
      <w:outlineLvl w:val="1"/>
    </w:pPr>
    <w:rPr>
      <w:rFonts w:ascii="Arial" w:hAnsi="Arial" w:cs="Arial"/>
      <w:sz w:val="24"/>
      <w:szCs w:val="24"/>
    </w:rPr>
  </w:style>
  <w:style w:type="paragraph" w:styleId="afff0">
    <w:name w:val="table of figures"/>
    <w:basedOn w:val="a1"/>
    <w:next w:val="a1"/>
    <w:rsid w:val="00046175"/>
    <w:pPr>
      <w:tabs>
        <w:tab w:val="clear" w:pos="850"/>
        <w:tab w:val="clear" w:pos="1191"/>
        <w:tab w:val="clear" w:pos="1531"/>
      </w:tabs>
      <w:ind w:left="440" w:hanging="440"/>
    </w:pPr>
  </w:style>
  <w:style w:type="paragraph" w:styleId="afff1">
    <w:name w:val="table of authorities"/>
    <w:basedOn w:val="a1"/>
    <w:next w:val="a1"/>
    <w:semiHidden/>
    <w:rsid w:val="00046175"/>
    <w:pPr>
      <w:tabs>
        <w:tab w:val="clear" w:pos="850"/>
        <w:tab w:val="clear" w:pos="1191"/>
        <w:tab w:val="clear" w:pos="1531"/>
      </w:tabs>
      <w:ind w:left="220" w:hanging="220"/>
    </w:pPr>
  </w:style>
  <w:style w:type="paragraph" w:styleId="afff2">
    <w:name w:val="Plain Text"/>
    <w:basedOn w:val="a1"/>
    <w:link w:val="afff3"/>
    <w:rsid w:val="00046175"/>
    <w:rPr>
      <w:rFonts w:ascii="Courier New" w:hAnsi="Courier New" w:cs="Courier New"/>
      <w:sz w:val="20"/>
      <w:szCs w:val="20"/>
    </w:rPr>
  </w:style>
  <w:style w:type="paragraph" w:styleId="afff4">
    <w:name w:val="Balloon Text"/>
    <w:basedOn w:val="a1"/>
    <w:link w:val="afff5"/>
    <w:semiHidden/>
    <w:rsid w:val="00046175"/>
    <w:rPr>
      <w:rFonts w:ascii="Tahoma" w:hAnsi="Tahoma" w:cs="Tahoma"/>
      <w:sz w:val="16"/>
      <w:szCs w:val="16"/>
    </w:rPr>
  </w:style>
  <w:style w:type="paragraph" w:styleId="afff6">
    <w:name w:val="macro"/>
    <w:link w:val="afff7"/>
    <w:semiHidden/>
    <w:rsid w:val="00046175"/>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afff8">
    <w:name w:val="Title"/>
    <w:basedOn w:val="a1"/>
    <w:link w:val="afff9"/>
    <w:qFormat/>
    <w:rsid w:val="00046175"/>
    <w:pPr>
      <w:spacing w:before="240" w:after="60"/>
      <w:jc w:val="center"/>
      <w:outlineLvl w:val="0"/>
    </w:pPr>
    <w:rPr>
      <w:rFonts w:ascii="Arial" w:hAnsi="Arial" w:cs="Arial"/>
      <w:b/>
      <w:bCs/>
      <w:kern w:val="28"/>
      <w:sz w:val="32"/>
      <w:szCs w:val="32"/>
    </w:rPr>
  </w:style>
  <w:style w:type="paragraph" w:styleId="afffa">
    <w:name w:val="Note Heading"/>
    <w:basedOn w:val="a1"/>
    <w:next w:val="a1"/>
    <w:link w:val="afffb"/>
    <w:rsid w:val="00046175"/>
  </w:style>
  <w:style w:type="paragraph" w:styleId="afffc">
    <w:name w:val="toa heading"/>
    <w:basedOn w:val="a1"/>
    <w:next w:val="a1"/>
    <w:semiHidden/>
    <w:rsid w:val="00046175"/>
    <w:pPr>
      <w:spacing w:before="120"/>
    </w:pPr>
    <w:rPr>
      <w:rFonts w:ascii="Arial" w:hAnsi="Arial" w:cs="Arial"/>
      <w:b/>
      <w:bCs/>
      <w:sz w:val="24"/>
      <w:szCs w:val="24"/>
    </w:rPr>
  </w:style>
  <w:style w:type="paragraph" w:styleId="62">
    <w:name w:val="toc 6"/>
    <w:basedOn w:val="a1"/>
    <w:next w:val="a1"/>
    <w:uiPriority w:val="39"/>
    <w:qFormat/>
    <w:rsid w:val="00046175"/>
    <w:pPr>
      <w:tabs>
        <w:tab w:val="clear" w:pos="850"/>
        <w:tab w:val="clear" w:pos="1191"/>
        <w:tab w:val="clear" w:pos="1531"/>
      </w:tabs>
      <w:ind w:left="1100"/>
    </w:pPr>
  </w:style>
  <w:style w:type="paragraph" w:styleId="72">
    <w:name w:val="toc 7"/>
    <w:basedOn w:val="a1"/>
    <w:next w:val="a1"/>
    <w:uiPriority w:val="39"/>
    <w:qFormat/>
    <w:rsid w:val="00046175"/>
    <w:pPr>
      <w:tabs>
        <w:tab w:val="clear" w:pos="850"/>
        <w:tab w:val="clear" w:pos="1191"/>
        <w:tab w:val="clear" w:pos="1531"/>
      </w:tabs>
      <w:ind w:left="1320"/>
    </w:pPr>
  </w:style>
  <w:style w:type="paragraph" w:styleId="82">
    <w:name w:val="toc 8"/>
    <w:basedOn w:val="a1"/>
    <w:next w:val="a1"/>
    <w:uiPriority w:val="39"/>
    <w:qFormat/>
    <w:rsid w:val="00046175"/>
    <w:pPr>
      <w:tabs>
        <w:tab w:val="clear" w:pos="850"/>
        <w:tab w:val="clear" w:pos="1191"/>
        <w:tab w:val="clear" w:pos="1531"/>
      </w:tabs>
      <w:ind w:left="1540"/>
    </w:pPr>
  </w:style>
  <w:style w:type="paragraph" w:customStyle="1" w:styleId="BoxBodyText">
    <w:name w:val="Box Body Text"/>
    <w:basedOn w:val="a1"/>
    <w:rsid w:val="00046175"/>
    <w:pPr>
      <w:spacing w:after="240"/>
      <w:ind w:firstLine="442"/>
    </w:pPr>
    <w:rPr>
      <w:rFonts w:ascii="Arial" w:hAnsi="Arial" w:cs="Arial"/>
      <w:sz w:val="18"/>
      <w:lang w:val="en-US"/>
    </w:rPr>
  </w:style>
  <w:style w:type="paragraph" w:customStyle="1" w:styleId="BoxBodyTextIndent">
    <w:name w:val="Box Body Text Indent"/>
    <w:basedOn w:val="a1"/>
    <w:rsid w:val="00046175"/>
    <w:pPr>
      <w:spacing w:after="240"/>
      <w:ind w:left="442"/>
    </w:pPr>
    <w:rPr>
      <w:rFonts w:ascii="Arial" w:hAnsi="Arial" w:cs="Arial"/>
      <w:sz w:val="18"/>
      <w:lang w:val="en-US"/>
    </w:rPr>
  </w:style>
  <w:style w:type="character" w:styleId="afffd">
    <w:name w:val="page number"/>
    <w:basedOn w:val="a2"/>
    <w:uiPriority w:val="99"/>
    <w:semiHidden/>
    <w:unhideWhenUsed/>
    <w:rsid w:val="00046175"/>
  </w:style>
  <w:style w:type="paragraph" w:styleId="afffe">
    <w:name w:val="Bibliography"/>
    <w:basedOn w:val="a1"/>
    <w:next w:val="a1"/>
    <w:uiPriority w:val="37"/>
    <w:semiHidden/>
    <w:unhideWhenUsed/>
    <w:rsid w:val="00046175"/>
  </w:style>
  <w:style w:type="paragraph" w:styleId="affff">
    <w:name w:val="Intense Quote"/>
    <w:basedOn w:val="a1"/>
    <w:next w:val="a1"/>
    <w:link w:val="affff0"/>
    <w:uiPriority w:val="30"/>
    <w:qFormat/>
    <w:rsid w:val="00046175"/>
    <w:pPr>
      <w:pBdr>
        <w:bottom w:val="single" w:sz="4" w:space="4" w:color="4F81BD" w:themeColor="accent1"/>
      </w:pBdr>
      <w:spacing w:before="200" w:after="280"/>
      <w:ind w:left="936" w:right="936"/>
    </w:pPr>
    <w:rPr>
      <w:b/>
      <w:bCs/>
      <w:i/>
      <w:iCs/>
      <w:color w:val="4F81BD" w:themeColor="accent1"/>
    </w:rPr>
  </w:style>
  <w:style w:type="character" w:customStyle="1" w:styleId="affff0">
    <w:name w:val="Выделенная цитата Знак"/>
    <w:basedOn w:val="a2"/>
    <w:link w:val="affff"/>
    <w:uiPriority w:val="30"/>
    <w:rsid w:val="00046175"/>
    <w:rPr>
      <w:b/>
      <w:bCs/>
      <w:i/>
      <w:iCs/>
      <w:color w:val="4F81BD" w:themeColor="accent1"/>
      <w:sz w:val="22"/>
      <w:szCs w:val="22"/>
      <w:lang w:val="en-GB" w:eastAsia="zh-CN"/>
    </w:rPr>
  </w:style>
  <w:style w:type="paragraph" w:styleId="affff1">
    <w:name w:val="List Paragraph"/>
    <w:basedOn w:val="a1"/>
    <w:link w:val="affff2"/>
    <w:uiPriority w:val="34"/>
    <w:qFormat/>
    <w:rsid w:val="00046175"/>
    <w:pPr>
      <w:ind w:left="720"/>
      <w:contextualSpacing/>
    </w:pPr>
  </w:style>
  <w:style w:type="paragraph" w:styleId="affff3">
    <w:name w:val="No Spacing"/>
    <w:uiPriority w:val="1"/>
    <w:qFormat/>
    <w:rsid w:val="00046175"/>
    <w:pPr>
      <w:tabs>
        <w:tab w:val="left" w:pos="850"/>
        <w:tab w:val="left" w:pos="1191"/>
        <w:tab w:val="left" w:pos="1531"/>
      </w:tabs>
      <w:jc w:val="both"/>
    </w:pPr>
    <w:rPr>
      <w:sz w:val="22"/>
      <w:szCs w:val="22"/>
      <w:lang w:val="en-GB" w:eastAsia="zh-CN"/>
    </w:rPr>
  </w:style>
  <w:style w:type="paragraph" w:styleId="2e">
    <w:name w:val="Quote"/>
    <w:basedOn w:val="a1"/>
    <w:next w:val="a1"/>
    <w:link w:val="2f"/>
    <w:uiPriority w:val="29"/>
    <w:qFormat/>
    <w:rsid w:val="00046175"/>
    <w:rPr>
      <w:i/>
      <w:iCs/>
      <w:color w:val="000000" w:themeColor="text1"/>
    </w:rPr>
  </w:style>
  <w:style w:type="character" w:customStyle="1" w:styleId="2f">
    <w:name w:val="Цитата 2 Знак"/>
    <w:basedOn w:val="a2"/>
    <w:link w:val="2e"/>
    <w:uiPriority w:val="29"/>
    <w:rsid w:val="00046175"/>
    <w:rPr>
      <w:i/>
      <w:iCs/>
      <w:color w:val="000000" w:themeColor="text1"/>
      <w:sz w:val="22"/>
      <w:szCs w:val="22"/>
      <w:lang w:val="en-GB" w:eastAsia="zh-CN"/>
    </w:rPr>
  </w:style>
  <w:style w:type="paragraph" w:styleId="affff4">
    <w:name w:val="TOC Heading"/>
    <w:basedOn w:val="1"/>
    <w:next w:val="a1"/>
    <w:uiPriority w:val="39"/>
    <w:semiHidden/>
    <w:unhideWhenUsed/>
    <w:qFormat/>
    <w:rsid w:val="00046175"/>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a5"/>
    <w:link w:val="CitationChar"/>
    <w:rsid w:val="00046175"/>
    <w:pPr>
      <w:ind w:left="850" w:firstLine="0"/>
      <w:jc w:val="left"/>
    </w:pPr>
  </w:style>
  <w:style w:type="character" w:customStyle="1" w:styleId="CitationChar">
    <w:name w:val="Citation Char"/>
    <w:basedOn w:val="a2"/>
    <w:link w:val="Citation"/>
    <w:rsid w:val="00046175"/>
    <w:rPr>
      <w:sz w:val="22"/>
      <w:szCs w:val="22"/>
      <w:lang w:val="en-GB" w:eastAsia="zh-CN"/>
    </w:rPr>
  </w:style>
  <w:style w:type="character" w:customStyle="1" w:styleId="a6">
    <w:name w:val="Основной текст Знак"/>
    <w:aliases w:val="Body Text Char Char Знак"/>
    <w:link w:val="a5"/>
    <w:rsid w:val="008C7A93"/>
    <w:rPr>
      <w:sz w:val="22"/>
      <w:szCs w:val="22"/>
      <w:lang w:val="en-GB" w:eastAsia="zh-CN"/>
    </w:rPr>
  </w:style>
  <w:style w:type="character" w:styleId="affff5">
    <w:name w:val="Hyperlink"/>
    <w:uiPriority w:val="99"/>
    <w:unhideWhenUsed/>
    <w:rsid w:val="008C7A93"/>
    <w:rPr>
      <w:color w:val="0B43A0"/>
      <w:u w:val="single"/>
    </w:rPr>
  </w:style>
  <w:style w:type="paragraph" w:customStyle="1" w:styleId="Default">
    <w:name w:val="Default"/>
    <w:rsid w:val="008C7A93"/>
    <w:pPr>
      <w:autoSpaceDE w:val="0"/>
      <w:autoSpaceDN w:val="0"/>
      <w:adjustRightInd w:val="0"/>
      <w:spacing w:after="200" w:line="276" w:lineRule="auto"/>
    </w:pPr>
    <w:rPr>
      <w:rFonts w:ascii="Univers 45 Light" w:hAnsi="Univers 45 Light" w:cs="Univers 45 Light"/>
      <w:color w:val="000000"/>
      <w:sz w:val="24"/>
      <w:szCs w:val="24"/>
      <w:lang w:val="en-GB"/>
    </w:rPr>
  </w:style>
  <w:style w:type="character" w:styleId="affff6">
    <w:name w:val="annotation reference"/>
    <w:uiPriority w:val="99"/>
    <w:semiHidden/>
    <w:unhideWhenUsed/>
    <w:rsid w:val="008C7A93"/>
    <w:rPr>
      <w:sz w:val="16"/>
      <w:szCs w:val="16"/>
    </w:rPr>
  </w:style>
  <w:style w:type="character" w:customStyle="1" w:styleId="af2">
    <w:name w:val="Текст примечания Знак"/>
    <w:link w:val="af1"/>
    <w:rsid w:val="008C7A93"/>
    <w:rPr>
      <w:lang w:val="en-GB" w:eastAsia="zh-CN"/>
    </w:rPr>
  </w:style>
  <w:style w:type="character" w:customStyle="1" w:styleId="aff0">
    <w:name w:val="Тема примечания Знак"/>
    <w:link w:val="aff"/>
    <w:semiHidden/>
    <w:rsid w:val="008C7A93"/>
    <w:rPr>
      <w:b/>
      <w:bCs/>
      <w:lang w:val="en-GB" w:eastAsia="zh-CN"/>
    </w:rPr>
  </w:style>
  <w:style w:type="character" w:customStyle="1" w:styleId="afff5">
    <w:name w:val="Текст выноски Знак"/>
    <w:link w:val="afff4"/>
    <w:semiHidden/>
    <w:rsid w:val="008C7A93"/>
    <w:rPr>
      <w:rFonts w:ascii="Tahoma" w:hAnsi="Tahoma" w:cs="Tahoma"/>
      <w:sz w:val="16"/>
      <w:szCs w:val="16"/>
      <w:lang w:val="en-GB" w:eastAsia="zh-CN"/>
    </w:rPr>
  </w:style>
  <w:style w:type="character" w:styleId="affff7">
    <w:name w:val="Subtle Emphasis"/>
    <w:uiPriority w:val="19"/>
    <w:qFormat/>
    <w:rsid w:val="008C7A93"/>
    <w:rPr>
      <w:i/>
      <w:iCs/>
    </w:rPr>
  </w:style>
  <w:style w:type="paragraph" w:styleId="affff8">
    <w:name w:val="Revision"/>
    <w:hidden/>
    <w:uiPriority w:val="99"/>
    <w:semiHidden/>
    <w:rsid w:val="008C7A93"/>
    <w:pPr>
      <w:spacing w:after="200" w:line="276" w:lineRule="auto"/>
    </w:pPr>
    <w:rPr>
      <w:rFonts w:ascii="Calibri" w:hAnsi="Calibri"/>
      <w:sz w:val="22"/>
      <w:szCs w:val="22"/>
      <w:lang w:val="en-GB"/>
    </w:rPr>
  </w:style>
  <w:style w:type="character" w:customStyle="1" w:styleId="af6">
    <w:name w:val="Верхний колонтитул Знак"/>
    <w:link w:val="af5"/>
    <w:rsid w:val="008C7A93"/>
    <w:rPr>
      <w:sz w:val="22"/>
      <w:szCs w:val="22"/>
      <w:lang w:val="en-GB" w:eastAsia="zh-CN"/>
    </w:rPr>
  </w:style>
  <w:style w:type="character" w:customStyle="1" w:styleId="aff2">
    <w:name w:val="Нижний колонтитул Знак"/>
    <w:link w:val="aff1"/>
    <w:uiPriority w:val="99"/>
    <w:rsid w:val="008C7A93"/>
    <w:rPr>
      <w:sz w:val="22"/>
      <w:szCs w:val="22"/>
      <w:lang w:val="en-GB" w:eastAsia="zh-CN"/>
    </w:rPr>
  </w:style>
  <w:style w:type="table" w:styleId="-1">
    <w:name w:val="Light Shading Accent 1"/>
    <w:basedOn w:val="a3"/>
    <w:uiPriority w:val="60"/>
    <w:rsid w:val="008C7A93"/>
    <w:rPr>
      <w:rFonts w:ascii="Calibri" w:eastAsia="Calibri" w:hAnsi="Calibri"/>
      <w:color w:val="365F91"/>
      <w:sz w:val="22"/>
      <w:szCs w:val="22"/>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3"/>
    <w:next w:val="-1"/>
    <w:uiPriority w:val="60"/>
    <w:rsid w:val="008C7A93"/>
    <w:rPr>
      <w:rFonts w:ascii="Calibri" w:eastAsia="Calibri" w:hAnsi="Calibri"/>
      <w:color w:val="365F91"/>
      <w:sz w:val="22"/>
      <w:szCs w:val="22"/>
      <w:lang w:val="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9">
    <w:name w:val="Table Grid"/>
    <w:basedOn w:val="a3"/>
    <w:uiPriority w:val="59"/>
    <w:rsid w:val="008C7A93"/>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3"/>
    <w:next w:val="affff9"/>
    <w:uiPriority w:val="59"/>
    <w:rsid w:val="008C7A93"/>
    <w:rPr>
      <w:rFonts w:ascii="Calibri" w:eastAsia="Calibri" w:hAnsi="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link w:val="21"/>
    <w:rsid w:val="008C7A93"/>
    <w:rPr>
      <w:b/>
      <w:bCs/>
      <w:sz w:val="22"/>
      <w:szCs w:val="22"/>
      <w:lang w:val="en-GB" w:eastAsia="zh-CN"/>
    </w:rPr>
  </w:style>
  <w:style w:type="character" w:customStyle="1" w:styleId="32">
    <w:name w:val="Заголовок 3 Знак"/>
    <w:link w:val="31"/>
    <w:rsid w:val="008C7A93"/>
    <w:rPr>
      <w:b/>
      <w:bCs/>
      <w:i/>
      <w:iCs/>
      <w:sz w:val="22"/>
      <w:szCs w:val="22"/>
      <w:lang w:val="en-GB" w:eastAsia="zh-CN"/>
    </w:rPr>
  </w:style>
  <w:style w:type="character" w:customStyle="1" w:styleId="10">
    <w:name w:val="Заголовок 1 Знак"/>
    <w:link w:val="1"/>
    <w:rsid w:val="008C7A93"/>
    <w:rPr>
      <w:b/>
      <w:bCs/>
      <w:caps/>
      <w:kern w:val="28"/>
      <w:sz w:val="22"/>
      <w:szCs w:val="22"/>
      <w:lang w:val="en-GB" w:eastAsia="zh-CN"/>
    </w:rPr>
  </w:style>
  <w:style w:type="character" w:customStyle="1" w:styleId="42">
    <w:name w:val="Заголовок 4 Знак"/>
    <w:link w:val="41"/>
    <w:rsid w:val="008C7A93"/>
    <w:rPr>
      <w:i/>
      <w:iCs/>
      <w:sz w:val="22"/>
      <w:szCs w:val="22"/>
      <w:lang w:val="en-GB" w:eastAsia="zh-CN"/>
    </w:rPr>
  </w:style>
  <w:style w:type="character" w:customStyle="1" w:styleId="52">
    <w:name w:val="Заголовок 5 Знак"/>
    <w:link w:val="51"/>
    <w:rsid w:val="008C7A93"/>
    <w:rPr>
      <w:sz w:val="22"/>
      <w:szCs w:val="22"/>
      <w:lang w:val="en-GB" w:eastAsia="zh-CN"/>
    </w:rPr>
  </w:style>
  <w:style w:type="character" w:customStyle="1" w:styleId="60">
    <w:name w:val="Заголовок 6 Знак"/>
    <w:link w:val="6"/>
    <w:rsid w:val="008C7A93"/>
    <w:rPr>
      <w:b/>
      <w:bCs/>
      <w:sz w:val="22"/>
      <w:szCs w:val="22"/>
      <w:lang w:val="en-GB" w:eastAsia="zh-CN"/>
    </w:rPr>
  </w:style>
  <w:style w:type="character" w:customStyle="1" w:styleId="70">
    <w:name w:val="Заголовок 7 Знак"/>
    <w:link w:val="7"/>
    <w:rsid w:val="008C7A93"/>
    <w:rPr>
      <w:sz w:val="24"/>
      <w:szCs w:val="24"/>
      <w:lang w:val="en-GB" w:eastAsia="zh-CN"/>
    </w:rPr>
  </w:style>
  <w:style w:type="character" w:customStyle="1" w:styleId="80">
    <w:name w:val="Заголовок 8 Знак"/>
    <w:link w:val="8"/>
    <w:rsid w:val="008C7A93"/>
    <w:rPr>
      <w:i/>
      <w:iCs/>
      <w:sz w:val="24"/>
      <w:szCs w:val="24"/>
      <w:lang w:val="en-GB" w:eastAsia="zh-CN"/>
    </w:rPr>
  </w:style>
  <w:style w:type="character" w:customStyle="1" w:styleId="90">
    <w:name w:val="Заголовок 9 Знак"/>
    <w:link w:val="9"/>
    <w:rsid w:val="008C7A93"/>
    <w:rPr>
      <w:rFonts w:ascii="Arial" w:hAnsi="Arial" w:cs="Arial"/>
      <w:sz w:val="22"/>
      <w:szCs w:val="22"/>
      <w:lang w:val="en-GB" w:eastAsia="zh-CN"/>
    </w:rPr>
  </w:style>
  <w:style w:type="character" w:customStyle="1" w:styleId="afff9">
    <w:name w:val="Название Знак"/>
    <w:link w:val="afff8"/>
    <w:rsid w:val="008C7A93"/>
    <w:rPr>
      <w:rFonts w:ascii="Arial" w:hAnsi="Arial" w:cs="Arial"/>
      <w:b/>
      <w:bCs/>
      <w:kern w:val="28"/>
      <w:sz w:val="32"/>
      <w:szCs w:val="32"/>
      <w:lang w:val="en-GB" w:eastAsia="zh-CN"/>
    </w:rPr>
  </w:style>
  <w:style w:type="character" w:customStyle="1" w:styleId="afff">
    <w:name w:val="Подзаголовок Знак"/>
    <w:link w:val="affe"/>
    <w:rsid w:val="008C7A93"/>
    <w:rPr>
      <w:rFonts w:ascii="Arial" w:hAnsi="Arial" w:cs="Arial"/>
      <w:sz w:val="24"/>
      <w:szCs w:val="24"/>
      <w:lang w:val="en-GB" w:eastAsia="zh-CN"/>
    </w:rPr>
  </w:style>
  <w:style w:type="character" w:styleId="affffa">
    <w:name w:val="Strong"/>
    <w:uiPriority w:val="22"/>
    <w:qFormat/>
    <w:rsid w:val="008C7A93"/>
    <w:rPr>
      <w:b/>
      <w:bCs/>
    </w:rPr>
  </w:style>
  <w:style w:type="character" w:styleId="affffb">
    <w:name w:val="Emphasis"/>
    <w:uiPriority w:val="20"/>
    <w:qFormat/>
    <w:rsid w:val="008C7A93"/>
    <w:rPr>
      <w:b/>
      <w:bCs/>
      <w:i/>
      <w:iCs/>
      <w:spacing w:val="10"/>
      <w:bdr w:val="none" w:sz="0" w:space="0" w:color="auto"/>
      <w:shd w:val="clear" w:color="auto" w:fill="auto"/>
    </w:rPr>
  </w:style>
  <w:style w:type="character" w:styleId="affffc">
    <w:name w:val="Intense Emphasis"/>
    <w:uiPriority w:val="21"/>
    <w:qFormat/>
    <w:rsid w:val="008C7A93"/>
    <w:rPr>
      <w:b/>
      <w:bCs/>
    </w:rPr>
  </w:style>
  <w:style w:type="character" w:styleId="affffd">
    <w:name w:val="Subtle Reference"/>
    <w:uiPriority w:val="31"/>
    <w:qFormat/>
    <w:rsid w:val="008C7A93"/>
    <w:rPr>
      <w:smallCaps/>
    </w:rPr>
  </w:style>
  <w:style w:type="character" w:styleId="affffe">
    <w:name w:val="Intense Reference"/>
    <w:uiPriority w:val="32"/>
    <w:qFormat/>
    <w:rsid w:val="008C7A93"/>
    <w:rPr>
      <w:smallCaps/>
      <w:spacing w:val="5"/>
      <w:u w:val="single"/>
    </w:rPr>
  </w:style>
  <w:style w:type="character" w:styleId="afffff">
    <w:name w:val="Book Title"/>
    <w:uiPriority w:val="33"/>
    <w:qFormat/>
    <w:rsid w:val="008C7A93"/>
    <w:rPr>
      <w:i/>
      <w:iCs/>
      <w:smallCaps/>
      <w:spacing w:val="5"/>
    </w:rPr>
  </w:style>
  <w:style w:type="paragraph" w:customStyle="1" w:styleId="Blioheading">
    <w:name w:val="Blio heading"/>
    <w:basedOn w:val="1"/>
    <w:rsid w:val="008C7A93"/>
  </w:style>
  <w:style w:type="character" w:customStyle="1" w:styleId="Biblio-EntryChar">
    <w:name w:val="Biblio-Entry Char"/>
    <w:basedOn w:val="a2"/>
    <w:link w:val="Biblio-Entry"/>
    <w:locked/>
    <w:rsid w:val="008C7A93"/>
    <w:rPr>
      <w:sz w:val="22"/>
      <w:szCs w:val="22"/>
      <w:lang w:val="en-GB" w:eastAsia="zh-CN"/>
    </w:rPr>
  </w:style>
  <w:style w:type="character" w:customStyle="1" w:styleId="ab">
    <w:name w:val="Текст сноски Знак"/>
    <w:aliases w:val="Podrozdział Знак,single space Знак,footnote text Знак"/>
    <w:basedOn w:val="a2"/>
    <w:link w:val="aa"/>
    <w:rsid w:val="008C7A93"/>
    <w:rPr>
      <w:lang w:val="en-GB" w:eastAsia="zh-CN"/>
    </w:rPr>
  </w:style>
  <w:style w:type="character" w:customStyle="1" w:styleId="googqs-tidbit1">
    <w:name w:val="goog_qs-tidbit1"/>
    <w:basedOn w:val="a2"/>
    <w:rsid w:val="008C7A93"/>
    <w:rPr>
      <w:vanish w:val="0"/>
      <w:webHidden w:val="0"/>
      <w:specVanish w:val="0"/>
    </w:rPr>
  </w:style>
  <w:style w:type="character" w:customStyle="1" w:styleId="hps">
    <w:name w:val="hps"/>
    <w:basedOn w:val="a2"/>
    <w:rsid w:val="008C7A93"/>
  </w:style>
  <w:style w:type="character" w:customStyle="1" w:styleId="affff2">
    <w:name w:val="Абзац списка Знак"/>
    <w:basedOn w:val="a2"/>
    <w:link w:val="affff1"/>
    <w:uiPriority w:val="34"/>
    <w:locked/>
    <w:rsid w:val="008C7A93"/>
    <w:rPr>
      <w:sz w:val="22"/>
      <w:szCs w:val="22"/>
      <w:lang w:val="en-GB" w:eastAsia="zh-CN"/>
    </w:rPr>
  </w:style>
  <w:style w:type="character" w:customStyle="1" w:styleId="A70">
    <w:name w:val="A7"/>
    <w:uiPriority w:val="99"/>
    <w:rsid w:val="008C7A93"/>
    <w:rPr>
      <w:rFonts w:cs="Interstate"/>
      <w:color w:val="000000"/>
      <w:sz w:val="22"/>
      <w:szCs w:val="22"/>
    </w:rPr>
  </w:style>
  <w:style w:type="character" w:customStyle="1" w:styleId="headertext">
    <w:name w:val="headertext"/>
    <w:basedOn w:val="a2"/>
    <w:rsid w:val="008C7A93"/>
  </w:style>
  <w:style w:type="character" w:styleId="afffff0">
    <w:name w:val="FollowedHyperlink"/>
    <w:basedOn w:val="a2"/>
    <w:uiPriority w:val="99"/>
    <w:semiHidden/>
    <w:unhideWhenUsed/>
    <w:rsid w:val="008C7A93"/>
    <w:rPr>
      <w:color w:val="800080" w:themeColor="followedHyperlink"/>
      <w:u w:val="single"/>
    </w:rPr>
  </w:style>
  <w:style w:type="table" w:styleId="afffff1">
    <w:name w:val="Light Shading"/>
    <w:basedOn w:val="a3"/>
    <w:uiPriority w:val="60"/>
    <w:rsid w:val="008C7A93"/>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a3"/>
    <w:uiPriority w:val="60"/>
    <w:rsid w:val="008C7A93"/>
    <w:pPr>
      <w:spacing w:after="200" w:line="276" w:lineRule="auto"/>
      <w:jc w:val="both"/>
    </w:pPr>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
    <w:name w:val="Style1"/>
    <w:uiPriority w:val="99"/>
    <w:rsid w:val="008C7A93"/>
    <w:pPr>
      <w:numPr>
        <w:numId w:val="19"/>
      </w:numPr>
    </w:pPr>
  </w:style>
  <w:style w:type="numbering" w:customStyle="1" w:styleId="Style2">
    <w:name w:val="Style2"/>
    <w:uiPriority w:val="99"/>
    <w:rsid w:val="008C7A93"/>
    <w:pPr>
      <w:numPr>
        <w:numId w:val="20"/>
      </w:numPr>
    </w:pPr>
  </w:style>
  <w:style w:type="numbering" w:customStyle="1" w:styleId="Style3">
    <w:name w:val="Style3"/>
    <w:uiPriority w:val="99"/>
    <w:rsid w:val="008C7A93"/>
    <w:pPr>
      <w:numPr>
        <w:numId w:val="21"/>
      </w:numPr>
    </w:pPr>
  </w:style>
  <w:style w:type="paragraph" w:customStyle="1" w:styleId="BodyTextKeep">
    <w:name w:val="Body Text Keep"/>
    <w:basedOn w:val="a5"/>
    <w:rsid w:val="008C7A93"/>
    <w:pPr>
      <w:keepNext/>
      <w:tabs>
        <w:tab w:val="clear" w:pos="850"/>
        <w:tab w:val="clear" w:pos="1191"/>
        <w:tab w:val="clear" w:pos="1531"/>
      </w:tabs>
      <w:overflowPunct w:val="0"/>
      <w:autoSpaceDE w:val="0"/>
      <w:autoSpaceDN w:val="0"/>
      <w:adjustRightInd w:val="0"/>
      <w:spacing w:before="60" w:line="480" w:lineRule="auto"/>
      <w:ind w:firstLine="720"/>
      <w:jc w:val="left"/>
    </w:pPr>
    <w:rPr>
      <w:b/>
      <w:szCs w:val="20"/>
      <w:lang w:val="en-US" w:eastAsia="en-US"/>
    </w:rPr>
  </w:style>
  <w:style w:type="character" w:customStyle="1" w:styleId="28">
    <w:name w:val="Основной текст 2 Знак"/>
    <w:basedOn w:val="a2"/>
    <w:link w:val="27"/>
    <w:rsid w:val="008C7A93"/>
    <w:rPr>
      <w:sz w:val="22"/>
      <w:szCs w:val="22"/>
      <w:lang w:val="en-GB" w:eastAsia="zh-CN"/>
    </w:rPr>
  </w:style>
  <w:style w:type="paragraph" w:customStyle="1" w:styleId="ecmsonormal">
    <w:name w:val="ec_msonormal"/>
    <w:basedOn w:val="a1"/>
    <w:rsid w:val="008C7A93"/>
    <w:pPr>
      <w:tabs>
        <w:tab w:val="clear" w:pos="850"/>
        <w:tab w:val="clear" w:pos="1191"/>
        <w:tab w:val="clear" w:pos="1531"/>
      </w:tabs>
      <w:spacing w:after="324"/>
      <w:jc w:val="left"/>
    </w:pPr>
    <w:rPr>
      <w:rFonts w:ascii="Arial Unicode MS" w:eastAsia="Arial Unicode MS" w:hAnsi="Arial Unicode MS" w:cs="Arial Unicode MS"/>
      <w:sz w:val="24"/>
      <w:szCs w:val="24"/>
      <w:lang w:val="en-US" w:eastAsia="en-US"/>
    </w:rPr>
  </w:style>
  <w:style w:type="table" w:customStyle="1" w:styleId="MediumList21">
    <w:name w:val="Medium List 21"/>
    <w:basedOn w:val="a3"/>
    <w:uiPriority w:val="66"/>
    <w:rsid w:val="008C7A93"/>
    <w:rPr>
      <w:rFonts w:asciiTheme="majorHAnsi" w:eastAsiaTheme="majorEastAsia" w:hAnsiTheme="majorHAnsi" w:cstheme="majorBidi"/>
      <w:color w:val="000000" w:themeColor="text1"/>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a2"/>
    <w:rsid w:val="008C7A93"/>
  </w:style>
  <w:style w:type="character" w:styleId="HTML3">
    <w:name w:val="HTML Cite"/>
    <w:basedOn w:val="a2"/>
    <w:uiPriority w:val="99"/>
    <w:semiHidden/>
    <w:unhideWhenUsed/>
    <w:rsid w:val="008C7A93"/>
    <w:rPr>
      <w:i/>
      <w:iCs/>
    </w:rPr>
  </w:style>
  <w:style w:type="paragraph" w:customStyle="1" w:styleId="FormatvorlageStandardDoppeltBlock">
    <w:name w:val="Formatvorlage Standard Doppelt + Block"/>
    <w:basedOn w:val="a1"/>
    <w:rsid w:val="008C7A93"/>
    <w:pPr>
      <w:tabs>
        <w:tab w:val="clear" w:pos="850"/>
        <w:tab w:val="clear" w:pos="1191"/>
        <w:tab w:val="clear" w:pos="1531"/>
      </w:tabs>
      <w:spacing w:line="480" w:lineRule="auto"/>
    </w:pPr>
    <w:rPr>
      <w:sz w:val="24"/>
      <w:szCs w:val="20"/>
      <w:lang w:val="de-DE" w:eastAsia="de-DE"/>
    </w:rPr>
  </w:style>
  <w:style w:type="character" w:customStyle="1" w:styleId="A01">
    <w:name w:val="A0+1"/>
    <w:uiPriority w:val="99"/>
    <w:rsid w:val="008C7A93"/>
    <w:rPr>
      <w:rFonts w:cs="Verdana"/>
      <w:color w:val="000000"/>
    </w:rPr>
  </w:style>
  <w:style w:type="paragraph" w:customStyle="1" w:styleId="Pa15">
    <w:name w:val="Pa1+5"/>
    <w:basedOn w:val="a1"/>
    <w:next w:val="a1"/>
    <w:uiPriority w:val="99"/>
    <w:rsid w:val="008C7A93"/>
    <w:pPr>
      <w:tabs>
        <w:tab w:val="clear" w:pos="850"/>
        <w:tab w:val="clear" w:pos="1191"/>
        <w:tab w:val="clear" w:pos="1531"/>
      </w:tabs>
      <w:autoSpaceDE w:val="0"/>
      <w:autoSpaceDN w:val="0"/>
      <w:adjustRightInd w:val="0"/>
      <w:spacing w:line="241" w:lineRule="atLeast"/>
      <w:jc w:val="left"/>
    </w:pPr>
    <w:rPr>
      <w:rFonts w:ascii="Verdana" w:eastAsiaTheme="minorEastAsia" w:hAnsi="Verdana" w:cstheme="minorBidi"/>
      <w:sz w:val="24"/>
      <w:szCs w:val="24"/>
      <w:lang w:eastAsia="en-US"/>
    </w:rPr>
  </w:style>
  <w:style w:type="character" w:customStyle="1" w:styleId="A07">
    <w:name w:val="A0+7"/>
    <w:uiPriority w:val="99"/>
    <w:rsid w:val="008C7A93"/>
    <w:rPr>
      <w:rFonts w:cs="Verdana"/>
      <w:b/>
      <w:bCs/>
      <w:color w:val="000000"/>
      <w:sz w:val="16"/>
      <w:szCs w:val="16"/>
    </w:rPr>
  </w:style>
  <w:style w:type="character" w:customStyle="1" w:styleId="A15">
    <w:name w:val="A1+5"/>
    <w:uiPriority w:val="99"/>
    <w:rsid w:val="008C7A93"/>
    <w:rPr>
      <w:rFonts w:cs="Verdana"/>
      <w:color w:val="000000"/>
      <w:sz w:val="28"/>
      <w:szCs w:val="28"/>
    </w:rPr>
  </w:style>
  <w:style w:type="paragraph" w:customStyle="1" w:styleId="Pa07">
    <w:name w:val="Pa0+7"/>
    <w:basedOn w:val="Default"/>
    <w:next w:val="Default"/>
    <w:uiPriority w:val="99"/>
    <w:rsid w:val="008C7A93"/>
    <w:pPr>
      <w:spacing w:after="0" w:line="241" w:lineRule="atLeast"/>
    </w:pPr>
    <w:rPr>
      <w:rFonts w:ascii="Verdana" w:eastAsiaTheme="minorEastAsia" w:hAnsi="Verdana" w:cstheme="minorBidi"/>
      <w:color w:val="auto"/>
    </w:rPr>
  </w:style>
  <w:style w:type="character" w:customStyle="1" w:styleId="a8">
    <w:name w:val="Текст концевой сноски Знак"/>
    <w:basedOn w:val="a2"/>
    <w:link w:val="a7"/>
    <w:semiHidden/>
    <w:rsid w:val="008C7A93"/>
    <w:rPr>
      <w:lang w:val="en-GB" w:eastAsia="zh-CN"/>
    </w:rPr>
  </w:style>
  <w:style w:type="character" w:customStyle="1" w:styleId="HTML0">
    <w:name w:val="Адрес HTML Знак"/>
    <w:basedOn w:val="a2"/>
    <w:link w:val="HTML"/>
    <w:rsid w:val="008C7A93"/>
    <w:rPr>
      <w:i/>
      <w:iCs/>
      <w:sz w:val="22"/>
      <w:szCs w:val="22"/>
      <w:lang w:val="en-GB" w:eastAsia="zh-CN"/>
    </w:rPr>
  </w:style>
  <w:style w:type="character" w:customStyle="1" w:styleId="37">
    <w:name w:val="Основной текст 3 Знак"/>
    <w:basedOn w:val="a2"/>
    <w:link w:val="36"/>
    <w:rsid w:val="008C7A93"/>
    <w:rPr>
      <w:sz w:val="16"/>
      <w:szCs w:val="16"/>
      <w:lang w:val="en-GB" w:eastAsia="zh-CN"/>
    </w:rPr>
  </w:style>
  <w:style w:type="character" w:customStyle="1" w:styleId="af4">
    <w:name w:val="Дата Знак"/>
    <w:basedOn w:val="a2"/>
    <w:link w:val="af3"/>
    <w:rsid w:val="008C7A93"/>
    <w:rPr>
      <w:sz w:val="22"/>
      <w:szCs w:val="22"/>
      <w:lang w:val="en-GB" w:eastAsia="zh-CN"/>
    </w:rPr>
  </w:style>
  <w:style w:type="character" w:customStyle="1" w:styleId="af8">
    <w:name w:val="Шапка Знак"/>
    <w:basedOn w:val="a2"/>
    <w:link w:val="af7"/>
    <w:rsid w:val="008C7A93"/>
    <w:rPr>
      <w:rFonts w:ascii="Arial" w:hAnsi="Arial" w:cs="Arial"/>
      <w:sz w:val="24"/>
      <w:szCs w:val="24"/>
      <w:shd w:val="pct20" w:color="auto" w:fill="auto"/>
      <w:lang w:val="en-GB" w:eastAsia="zh-CN"/>
    </w:rPr>
  </w:style>
  <w:style w:type="character" w:customStyle="1" w:styleId="afa">
    <w:name w:val="Схема документа Знак"/>
    <w:basedOn w:val="a2"/>
    <w:link w:val="af9"/>
    <w:semiHidden/>
    <w:rsid w:val="008C7A93"/>
    <w:rPr>
      <w:rFonts w:ascii="Tahoma" w:hAnsi="Tahoma" w:cs="Tahoma"/>
      <w:sz w:val="22"/>
      <w:szCs w:val="22"/>
      <w:shd w:val="clear" w:color="auto" w:fill="000080"/>
      <w:lang w:val="en-GB" w:eastAsia="zh-CN"/>
    </w:rPr>
  </w:style>
  <w:style w:type="character" w:customStyle="1" w:styleId="afc">
    <w:name w:val="Прощание Знак"/>
    <w:basedOn w:val="a2"/>
    <w:link w:val="afb"/>
    <w:rsid w:val="008C7A93"/>
    <w:rPr>
      <w:sz w:val="22"/>
      <w:szCs w:val="22"/>
      <w:lang w:val="en-GB" w:eastAsia="zh-CN"/>
    </w:rPr>
  </w:style>
  <w:style w:type="character" w:customStyle="1" w:styleId="HTML2">
    <w:name w:val="Стандартный HTML Знак"/>
    <w:basedOn w:val="a2"/>
    <w:link w:val="HTML1"/>
    <w:rsid w:val="008C7A93"/>
    <w:rPr>
      <w:rFonts w:ascii="Courier New" w:hAnsi="Courier New" w:cs="Courier New"/>
      <w:lang w:val="en-GB" w:eastAsia="zh-CN"/>
    </w:rPr>
  </w:style>
  <w:style w:type="character" w:customStyle="1" w:styleId="aff4">
    <w:name w:val="Красная строка Знак"/>
    <w:basedOn w:val="a6"/>
    <w:link w:val="aff3"/>
    <w:rsid w:val="008C7A93"/>
    <w:rPr>
      <w:sz w:val="22"/>
      <w:szCs w:val="22"/>
      <w:lang w:val="en-GB" w:eastAsia="zh-CN"/>
    </w:rPr>
  </w:style>
  <w:style w:type="character" w:customStyle="1" w:styleId="aff6">
    <w:name w:val="Основной текст с отступом Знак"/>
    <w:basedOn w:val="a2"/>
    <w:link w:val="aff5"/>
    <w:rsid w:val="008C7A93"/>
    <w:rPr>
      <w:sz w:val="22"/>
      <w:szCs w:val="22"/>
      <w:lang w:val="en-GB" w:eastAsia="zh-CN"/>
    </w:rPr>
  </w:style>
  <w:style w:type="character" w:customStyle="1" w:styleId="2b">
    <w:name w:val="Основной текст с отступом 2 Знак"/>
    <w:basedOn w:val="a2"/>
    <w:link w:val="2a"/>
    <w:rsid w:val="008C7A93"/>
    <w:rPr>
      <w:sz w:val="22"/>
      <w:szCs w:val="22"/>
      <w:lang w:val="en-GB" w:eastAsia="zh-CN"/>
    </w:rPr>
  </w:style>
  <w:style w:type="character" w:customStyle="1" w:styleId="3a">
    <w:name w:val="Основной текст с отступом 3 Знак"/>
    <w:basedOn w:val="a2"/>
    <w:link w:val="39"/>
    <w:rsid w:val="008C7A93"/>
    <w:rPr>
      <w:sz w:val="16"/>
      <w:szCs w:val="16"/>
      <w:lang w:val="en-GB" w:eastAsia="zh-CN"/>
    </w:rPr>
  </w:style>
  <w:style w:type="character" w:customStyle="1" w:styleId="2d">
    <w:name w:val="Красная строка 2 Знак"/>
    <w:basedOn w:val="aff6"/>
    <w:link w:val="2c"/>
    <w:rsid w:val="008C7A93"/>
    <w:rPr>
      <w:sz w:val="22"/>
      <w:szCs w:val="22"/>
      <w:lang w:val="en-GB" w:eastAsia="zh-CN"/>
    </w:rPr>
  </w:style>
  <w:style w:type="character" w:customStyle="1" w:styleId="aff9">
    <w:name w:val="Приветствие Знак"/>
    <w:basedOn w:val="a2"/>
    <w:link w:val="aff8"/>
    <w:rsid w:val="008C7A93"/>
    <w:rPr>
      <w:sz w:val="22"/>
      <w:szCs w:val="22"/>
      <w:lang w:val="en-GB" w:eastAsia="zh-CN"/>
    </w:rPr>
  </w:style>
  <w:style w:type="character" w:customStyle="1" w:styleId="affb">
    <w:name w:val="Подпись Знак"/>
    <w:basedOn w:val="a2"/>
    <w:link w:val="affa"/>
    <w:rsid w:val="008C7A93"/>
    <w:rPr>
      <w:sz w:val="22"/>
      <w:szCs w:val="22"/>
      <w:lang w:val="en-GB" w:eastAsia="zh-CN"/>
    </w:rPr>
  </w:style>
  <w:style w:type="character" w:customStyle="1" w:styleId="affd">
    <w:name w:val="Электронная подпись Знак"/>
    <w:basedOn w:val="a2"/>
    <w:link w:val="affc"/>
    <w:rsid w:val="008C7A93"/>
    <w:rPr>
      <w:sz w:val="22"/>
      <w:szCs w:val="22"/>
      <w:lang w:val="en-GB" w:eastAsia="zh-CN"/>
    </w:rPr>
  </w:style>
  <w:style w:type="character" w:customStyle="1" w:styleId="afff3">
    <w:name w:val="Текст Знак"/>
    <w:basedOn w:val="a2"/>
    <w:link w:val="afff2"/>
    <w:rsid w:val="008C7A93"/>
    <w:rPr>
      <w:rFonts w:ascii="Courier New" w:hAnsi="Courier New" w:cs="Courier New"/>
      <w:lang w:val="en-GB" w:eastAsia="zh-CN"/>
    </w:rPr>
  </w:style>
  <w:style w:type="character" w:customStyle="1" w:styleId="afff7">
    <w:name w:val="Текст макроса Знак"/>
    <w:basedOn w:val="a2"/>
    <w:link w:val="afff6"/>
    <w:semiHidden/>
    <w:rsid w:val="008C7A93"/>
    <w:rPr>
      <w:rFonts w:ascii="Courier New" w:hAnsi="Courier New" w:cs="Courier New"/>
      <w:lang w:val="en-GB" w:eastAsia="zh-CN"/>
    </w:rPr>
  </w:style>
  <w:style w:type="character" w:customStyle="1" w:styleId="afffb">
    <w:name w:val="Заголовок записки Знак"/>
    <w:basedOn w:val="a2"/>
    <w:link w:val="afffa"/>
    <w:rsid w:val="008C7A93"/>
    <w:rPr>
      <w:sz w:val="22"/>
      <w:szCs w:val="22"/>
      <w:lang w:val="en-GB" w:eastAsia="zh-CN"/>
    </w:rPr>
  </w:style>
  <w:style w:type="paragraph" w:customStyle="1" w:styleId="57">
    <w:name w:val="Знак Знак5"/>
    <w:basedOn w:val="a1"/>
    <w:rsid w:val="008C7A93"/>
    <w:pPr>
      <w:tabs>
        <w:tab w:val="clear" w:pos="850"/>
        <w:tab w:val="clear" w:pos="1191"/>
        <w:tab w:val="clear" w:pos="1531"/>
      </w:tabs>
      <w:spacing w:after="160" w:line="240" w:lineRule="exact"/>
      <w:jc w:val="left"/>
    </w:pPr>
    <w:rPr>
      <w:rFonts w:ascii="Verdana" w:hAnsi="Verdana"/>
      <w:sz w:val="20"/>
      <w:szCs w:val="20"/>
      <w:lang w:val="en-US" w:eastAsia="en-US"/>
    </w:rPr>
  </w:style>
  <w:style w:type="paragraph" w:customStyle="1" w:styleId="afffff2">
    <w:name w:val="Чиновничий"/>
    <w:basedOn w:val="a1"/>
    <w:rsid w:val="008C7A93"/>
    <w:pPr>
      <w:tabs>
        <w:tab w:val="clear" w:pos="850"/>
        <w:tab w:val="clear" w:pos="1191"/>
        <w:tab w:val="clear" w:pos="1531"/>
      </w:tabs>
      <w:spacing w:before="120" w:after="120" w:line="360" w:lineRule="auto"/>
      <w:ind w:firstLine="709"/>
    </w:pPr>
    <w:rPr>
      <w:sz w:val="28"/>
      <w:szCs w:val="24"/>
      <w:lang w:val="ru-RU" w:eastAsia="ru-RU"/>
    </w:rPr>
  </w:style>
  <w:style w:type="paragraph" w:customStyle="1" w:styleId="AcknowledgmentHeading">
    <w:name w:val="Acknowledgment Heading"/>
    <w:basedOn w:val="a1"/>
    <w:next w:val="a5"/>
    <w:rsid w:val="008C7A93"/>
    <w:pPr>
      <w:keepNext/>
      <w:spacing w:before="1200" w:after="720"/>
      <w:jc w:val="center"/>
    </w:pPr>
    <w:rPr>
      <w:b/>
      <w:caps/>
      <w:lang w:val="en-US"/>
    </w:rPr>
  </w:style>
  <w:style w:type="numbering" w:customStyle="1" w:styleId="NumberedNote1">
    <w:name w:val="Numbered Note1"/>
    <w:basedOn w:val="a4"/>
    <w:rsid w:val="008C7A93"/>
  </w:style>
  <w:style w:type="numbering" w:customStyle="1" w:styleId="BulletedNote1">
    <w:name w:val="Bulleted Note1"/>
    <w:basedOn w:val="a4"/>
    <w:rsid w:val="008C7A93"/>
  </w:style>
  <w:style w:type="numbering" w:customStyle="1" w:styleId="NumericNote1">
    <w:name w:val="Numeric Note1"/>
    <w:basedOn w:val="a4"/>
    <w:rsid w:val="008C7A93"/>
  </w:style>
  <w:style w:type="numbering" w:customStyle="1" w:styleId="AlphaNote1">
    <w:name w:val="Alpha Note1"/>
    <w:basedOn w:val="a4"/>
    <w:rsid w:val="008C7A93"/>
  </w:style>
  <w:style w:type="table" w:styleId="-10">
    <w:name w:val="Light List Accent 1"/>
    <w:basedOn w:val="a3"/>
    <w:uiPriority w:val="61"/>
    <w:rsid w:val="008C7A9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ffff3">
    <w:name w:val="endnote reference"/>
    <w:basedOn w:val="a2"/>
    <w:uiPriority w:val="99"/>
    <w:semiHidden/>
    <w:unhideWhenUsed/>
    <w:rsid w:val="008C7A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nnexHeading">
    <w:name w:val="BulletedNote"/>
    <w:pPr>
      <w:numPr>
        <w:numId w:val="2"/>
      </w:numPr>
    </w:pPr>
  </w:style>
  <w:style w:type="numbering" w:customStyle="1" w:styleId="a5">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 w:type="numbering" w:customStyle="1" w:styleId="Biblio-Entry">
    <w:name w:val="Style1"/>
    <w:pPr>
      <w:numPr>
        <w:numId w:val="19"/>
      </w:numPr>
    </w:pPr>
  </w:style>
  <w:style w:type="numbering" w:customStyle="1" w:styleId="BibliographyHeading">
    <w:name w:val="Style3"/>
    <w:pPr>
      <w:numPr>
        <w:numId w:val="21"/>
      </w:numPr>
    </w:pPr>
  </w:style>
  <w:style w:type="numbering" w:customStyle="1" w:styleId="BoxHeading">
    <w:name w:val="Style2"/>
    <w:pPr>
      <w:numPr>
        <w:numId w:val="20"/>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7.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0\Workgroup%20Templates\AE200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VS-TREN-APP-1.main.oecd.org\UsersTrento\THOMPSON_S\Projects\mg%20Country%20Reviews\Russia\oj20%20review\Figure%202.1%20Number%20of%20Enterprises%20and%20GDP.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VS-TREN-APP-1.main.oecd.org\UsersTrento\THOMPSON_S\Projects\mg%20Country%20Reviews\Russia\oj20%20review\Figure%202.2%20share%20of%20employment%20by%20enterprise%20size%20clas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S-TREN-APP-1.main.oecd.org\UsersTrento\THOMPSON_S\Projects\mg%20Country%20Reviews\Russia\oj20%20review\Chapter%202\Figure%202.5%20Share%20of%20self-employment%20in%20total%20employ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VS-TREN-APP-1.main.oecd.org\UsersTrento\THOMPSON_S\Projects\mg%20Country%20Reviews\Russia\oj20%20review\Chapter%202\Figure%202.8%20informal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ain.oecd.org\sdataCFE\Data\SME\10%20-%20Projects%20and%20Studies\09%20-%20Country%20reviews\2013%20Russia\Figures\3.21Gra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ain.oecd.org\sdataCFE\Data\SME\10%20-%20Projects%20and%20Studies\09%20-%20Country%20reviews\2013%20Russia\Figures\3.23R&amp;DExpenditu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ain.oecd.org\sdataCFE\Data\SME\10%20-%20Projects%20and%20Studies\09%20-%20Country%20reviews\2013%20Russia\Figures\3.23R&amp;DExpenditu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VS-TREN-APP-1.main.oecd.org\UsersTrento\THOMPSON_S\Projects\mg%20Country%20Reviews\Russia\pa21%20review\Figure%20XX%20Regions%20lagging%20behind%20in%20framework%20cond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2239451098554651E-2"/>
          <c:y val="6.7113774957236E-2"/>
          <c:w val="0.87715883065659928"/>
          <c:h val="0.78137449236755863"/>
        </c:manualLayout>
      </c:layout>
      <c:scatterChart>
        <c:scatterStyle val="lineMarker"/>
        <c:ser>
          <c:idx val="0"/>
          <c:order val="0"/>
          <c:tx>
            <c:strRef>
              <c:f>EAAG_Graph!$C$28</c:f>
              <c:strCache>
                <c:ptCount val="1"/>
                <c:pt idx="0">
                  <c:v>Thousands of firms</c:v>
                </c:pt>
              </c:strCache>
            </c:strRef>
          </c:tx>
          <c:spPr>
            <a:ln w="28575">
              <a:noFill/>
            </a:ln>
          </c:spPr>
          <c:marker>
            <c:symbol val="triangle"/>
            <c:size val="5"/>
            <c:spPr>
              <a:solidFill>
                <a:srgbClr val="006BB6"/>
              </a:solidFill>
              <a:ln>
                <a:solidFill>
                  <a:srgbClr val="006BB6"/>
                </a:solidFill>
                <a:prstDash val="solid"/>
              </a:ln>
            </c:spPr>
          </c:marker>
          <c:dLbls>
            <c:dLbl>
              <c:idx val="0"/>
              <c:layout>
                <c:manualLayout>
                  <c:x val="-6.6058265711760808E-3"/>
                  <c:y val="-2.5935519746930202E-2"/>
                </c:manualLayout>
              </c:layout>
              <c:tx>
                <c:rich>
                  <a:bodyPr/>
                  <a:lstStyle/>
                  <a:p>
                    <a:pPr>
                      <a:defRPr sz="700" b="0" i="0">
                        <a:solidFill>
                          <a:srgbClr val="000000"/>
                        </a:solidFill>
                        <a:latin typeface="Arial Narrow"/>
                      </a:defRPr>
                    </a:pPr>
                    <a:r>
                      <a:rPr lang="ru-RU"/>
                      <a:t>Австралия</a:t>
                    </a:r>
                    <a:endParaRPr lang="en-US"/>
                  </a:p>
                </c:rich>
              </c:tx>
              <c:spPr/>
              <c:dLblPos val="r"/>
            </c:dLbl>
            <c:dLbl>
              <c:idx val="1"/>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2"/>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3"/>
              <c:layout>
                <c:manualLayout>
                  <c:x val="-2.3987179634836781E-2"/>
                  <c:y val="-5.1496679205724226E-2"/>
                </c:manualLayout>
              </c:layout>
              <c:tx>
                <c:rich>
                  <a:bodyPr/>
                  <a:lstStyle/>
                  <a:p>
                    <a:pPr>
                      <a:defRPr sz="700" b="0" i="0">
                        <a:solidFill>
                          <a:srgbClr val="000000"/>
                        </a:solidFill>
                        <a:latin typeface="Arial Narrow"/>
                      </a:defRPr>
                    </a:pPr>
                    <a:r>
                      <a:rPr lang="ru-RU"/>
                      <a:t>Бразилия</a:t>
                    </a:r>
                    <a:endParaRPr lang="en-US"/>
                  </a:p>
                </c:rich>
              </c:tx>
              <c:spPr/>
              <c:dLblPos val="r"/>
            </c:dLbl>
            <c:dLbl>
              <c:idx val="4"/>
              <c:tx>
                <c:rich>
                  <a:bodyPr/>
                  <a:lstStyle/>
                  <a:p>
                    <a:pPr>
                      <a:defRPr sz="700" b="0" i="0">
                        <a:solidFill>
                          <a:srgbClr val="000000"/>
                        </a:solidFill>
                        <a:latin typeface="Arial Narrow"/>
                      </a:defRPr>
                    </a:pPr>
                    <a:r>
                      <a:rPr lang="en-US"/>
                      <a:t>Bulgaria</a:t>
                    </a:r>
                  </a:p>
                </c:rich>
              </c:tx>
              <c:spPr/>
              <c:dLblPos val="t"/>
            </c:dLbl>
            <c:dLbl>
              <c:idx val="5"/>
              <c:layout>
                <c:manualLayout>
                  <c:x val="-4.5410046917163924E-2"/>
                  <c:y val="-3.6890302372127752E-2"/>
                </c:manualLayout>
              </c:layout>
              <c:tx>
                <c:rich>
                  <a:bodyPr/>
                  <a:lstStyle/>
                  <a:p>
                    <a:pPr>
                      <a:defRPr sz="700" b="0" i="0">
                        <a:solidFill>
                          <a:srgbClr val="000000"/>
                        </a:solidFill>
                        <a:latin typeface="Arial Narrow"/>
                      </a:defRPr>
                    </a:pPr>
                    <a:r>
                      <a:rPr lang="ru-RU"/>
                      <a:t>Канада</a:t>
                    </a:r>
                    <a:r>
                      <a:rPr lang="en-US"/>
                      <a:t>(2010)</a:t>
                    </a:r>
                  </a:p>
                </c:rich>
              </c:tx>
              <c:spPr/>
              <c:dLblPos val="r"/>
            </c:dLbl>
            <c:dLbl>
              <c:idx val="6"/>
              <c:tx>
                <c:rich>
                  <a:bodyPr/>
                  <a:lstStyle/>
                  <a:p>
                    <a:pPr>
                      <a:defRPr sz="700" b="0" i="0">
                        <a:solidFill>
                          <a:srgbClr val="000000"/>
                        </a:solidFill>
                        <a:latin typeface="Arial Narrow"/>
                      </a:defRPr>
                    </a:pPr>
                    <a:r>
                      <a:rPr lang="ru-RU"/>
                      <a:t>Чешская Республика</a:t>
                    </a:r>
                    <a:endParaRPr lang="en-US"/>
                  </a:p>
                </c:rich>
              </c:tx>
              <c:spPr/>
              <c:dLblPos val="t"/>
            </c:dLbl>
            <c:dLbl>
              <c:idx val="7"/>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8"/>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9"/>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10"/>
              <c:tx>
                <c:rich>
                  <a:bodyPr/>
                  <a:lstStyle/>
                  <a:p>
                    <a:pPr>
                      <a:defRPr sz="700" b="0" i="0">
                        <a:solidFill>
                          <a:srgbClr val="000000"/>
                        </a:solidFill>
                        <a:latin typeface="Arial Narrow"/>
                      </a:defRPr>
                    </a:pPr>
                    <a:r>
                      <a:rPr lang="ru-RU"/>
                      <a:t>Франция</a:t>
                    </a:r>
                    <a:endParaRPr lang="en-US"/>
                  </a:p>
                </c:rich>
              </c:tx>
              <c:spPr/>
              <c:dLblPos val="t"/>
            </c:dLbl>
            <c:dLbl>
              <c:idx val="11"/>
              <c:tx>
                <c:rich>
                  <a:bodyPr/>
                  <a:lstStyle/>
                  <a:p>
                    <a:pPr>
                      <a:defRPr sz="700" b="0" i="0">
                        <a:solidFill>
                          <a:srgbClr val="000000"/>
                        </a:solidFill>
                        <a:latin typeface="Arial Narrow"/>
                      </a:defRPr>
                    </a:pPr>
                    <a:r>
                      <a:rPr lang="ru-RU"/>
                      <a:t>Германия</a:t>
                    </a:r>
                    <a:endParaRPr lang="en-US"/>
                  </a:p>
                </c:rich>
              </c:tx>
              <c:spPr/>
              <c:dLblPos val="t"/>
            </c:dLbl>
            <c:dLbl>
              <c:idx val="12"/>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13"/>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14"/>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15"/>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16"/>
              <c:tx>
                <c:rich>
                  <a:bodyPr/>
                  <a:lstStyle/>
                  <a:p>
                    <a:pPr>
                      <a:defRPr sz="700" b="0" i="0">
                        <a:solidFill>
                          <a:srgbClr val="000000"/>
                        </a:solidFill>
                        <a:latin typeface="Arial Narrow"/>
                      </a:defRPr>
                    </a:pPr>
                    <a:r>
                      <a:rPr lang="ru-RU"/>
                      <a:t>Италия</a:t>
                    </a:r>
                    <a:endParaRPr lang="en-US"/>
                  </a:p>
                </c:rich>
              </c:tx>
              <c:spPr/>
              <c:dLblPos val="t"/>
            </c:dLbl>
            <c:dLbl>
              <c:idx val="17"/>
              <c:tx>
                <c:rich>
                  <a:bodyPr/>
                  <a:lstStyle/>
                  <a:p>
                    <a:pPr>
                      <a:defRPr sz="700" b="0" i="0">
                        <a:solidFill>
                          <a:srgbClr val="000000"/>
                        </a:solidFill>
                        <a:latin typeface="Arial Narrow"/>
                      </a:defRPr>
                    </a:pPr>
                    <a:r>
                      <a:rPr lang="ru-RU"/>
                      <a:t>Япония</a:t>
                    </a:r>
                    <a:r>
                      <a:rPr lang="en-US"/>
                      <a:t>(2012)</a:t>
                    </a:r>
                  </a:p>
                </c:rich>
              </c:tx>
              <c:spPr/>
              <c:dLblPos val="t"/>
            </c:dLbl>
            <c:dLbl>
              <c:idx val="18"/>
              <c:tx>
                <c:rich>
                  <a:bodyPr/>
                  <a:lstStyle/>
                  <a:p>
                    <a:pPr>
                      <a:defRPr sz="700" b="0" i="0">
                        <a:solidFill>
                          <a:srgbClr val="000000"/>
                        </a:solidFill>
                        <a:latin typeface="Arial Narrow"/>
                      </a:defRPr>
                    </a:pPr>
                    <a:r>
                      <a:rPr lang="ru-RU"/>
                      <a:t>Корея</a:t>
                    </a:r>
                    <a:endParaRPr lang="en-US"/>
                  </a:p>
                </c:rich>
              </c:tx>
              <c:spPr/>
              <c:dLblPos val="t"/>
            </c:dLbl>
            <c:dLbl>
              <c:idx val="19"/>
              <c:tx>
                <c:rich>
                  <a:bodyPr/>
                  <a:lstStyle/>
                  <a:p>
                    <a:pPr>
                      <a:defRPr sz="700" b="0" i="0">
                        <a:solidFill>
                          <a:srgbClr val="000000"/>
                        </a:solidFill>
                        <a:latin typeface="Arial Narrow"/>
                      </a:defRPr>
                    </a:pPr>
                    <a:r>
                      <a:rPr lang="en-US"/>
                      <a:t>Latvia</a:t>
                    </a:r>
                  </a:p>
                </c:rich>
              </c:tx>
              <c:spPr/>
              <c:dLblPos val="t"/>
            </c:dLbl>
            <c:dLbl>
              <c:idx val="20"/>
              <c:tx>
                <c:rich>
                  <a:bodyPr/>
                  <a:lstStyle/>
                  <a:p>
                    <a:pPr>
                      <a:defRPr sz="700" b="0" i="0">
                        <a:solidFill>
                          <a:srgbClr val="000000"/>
                        </a:solidFill>
                        <a:latin typeface="Arial Narrow"/>
                      </a:defRPr>
                    </a:pPr>
                    <a:r>
                      <a:rPr lang="en-US"/>
                      <a:t>Lithuania</a:t>
                    </a:r>
                  </a:p>
                </c:rich>
              </c:tx>
              <c:spPr/>
              <c:dLblPos val="t"/>
            </c:dLbl>
            <c:dLbl>
              <c:idx val="21"/>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22"/>
              <c:layout>
                <c:manualLayout>
                  <c:x val="-6.3878809617008925E-2"/>
                  <c:y val="-3.6890302372127752E-2"/>
                </c:manualLayout>
              </c:layout>
              <c:tx>
                <c:rich>
                  <a:bodyPr/>
                  <a:lstStyle/>
                  <a:p>
                    <a:pPr>
                      <a:defRPr sz="700" b="0" i="0">
                        <a:solidFill>
                          <a:srgbClr val="000000"/>
                        </a:solidFill>
                        <a:latin typeface="Arial Narrow"/>
                      </a:defRPr>
                    </a:pPr>
                    <a:r>
                      <a:rPr lang="ru-RU"/>
                      <a:t>Мексика</a:t>
                    </a:r>
                    <a:r>
                      <a:rPr lang="en-US"/>
                      <a:t>(2008)</a:t>
                    </a:r>
                  </a:p>
                </c:rich>
              </c:tx>
              <c:spPr/>
              <c:dLblPos val="r"/>
            </c:dLbl>
            <c:dLbl>
              <c:idx val="23"/>
              <c:tx>
                <c:rich>
                  <a:bodyPr/>
                  <a:lstStyle/>
                  <a:p>
                    <a:pPr>
                      <a:defRPr sz="700" b="0" i="0">
                        <a:solidFill>
                          <a:srgbClr val="000000"/>
                        </a:solidFill>
                        <a:latin typeface="Arial Narrow"/>
                      </a:defRPr>
                    </a:pPr>
                    <a:r>
                      <a:rPr lang="ru-RU"/>
                      <a:t>Нидерланды</a:t>
                    </a:r>
                    <a:endParaRPr lang="en-US"/>
                  </a:p>
                </c:rich>
              </c:tx>
              <c:spPr/>
              <c:dLblPos val="t"/>
            </c:dLbl>
            <c:dLbl>
              <c:idx val="24"/>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25"/>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26"/>
              <c:layout>
                <c:manualLayout>
                  <c:x val="-6.3669853459959458E-2"/>
                  <c:y val="-4.7845084997324594E-2"/>
                </c:manualLayout>
              </c:layout>
              <c:tx>
                <c:rich>
                  <a:bodyPr/>
                  <a:lstStyle/>
                  <a:p>
                    <a:pPr>
                      <a:defRPr sz="700" b="0" i="0">
                        <a:solidFill>
                          <a:srgbClr val="000000"/>
                        </a:solidFill>
                        <a:latin typeface="Arial Narrow"/>
                      </a:defRPr>
                    </a:pPr>
                    <a:r>
                      <a:rPr lang="ru-RU"/>
                      <a:t>Польша</a:t>
                    </a:r>
                    <a:endParaRPr lang="en-US"/>
                  </a:p>
                </c:rich>
              </c:tx>
              <c:spPr/>
              <c:dLblPos val="r"/>
            </c:dLbl>
            <c:dLbl>
              <c:idx val="27"/>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28"/>
              <c:tx>
                <c:rich>
                  <a:bodyPr/>
                  <a:lstStyle/>
                  <a:p>
                    <a:pPr>
                      <a:defRPr sz="700" b="0" i="0">
                        <a:solidFill>
                          <a:srgbClr val="000000"/>
                        </a:solidFill>
                        <a:latin typeface="Arial Narrow"/>
                      </a:defRPr>
                    </a:pPr>
                    <a:r>
                      <a:rPr lang="en-US"/>
                      <a:t>Romania</a:t>
                    </a:r>
                  </a:p>
                </c:rich>
              </c:tx>
              <c:spPr/>
              <c:dLblPos val="t"/>
            </c:dLbl>
            <c:dLbl>
              <c:idx val="29"/>
              <c:tx>
                <c:rich>
                  <a:bodyPr/>
                  <a:lstStyle/>
                  <a:p>
                    <a:pPr>
                      <a:defRPr sz="700" b="0" i="0">
                        <a:solidFill>
                          <a:srgbClr val="000000"/>
                        </a:solidFill>
                        <a:latin typeface="Arial Narrow"/>
                      </a:defRPr>
                    </a:pPr>
                    <a:r>
                      <a:rPr lang="ru-RU"/>
                      <a:t>Российская Федерация</a:t>
                    </a:r>
                    <a:endParaRPr lang="en-US"/>
                  </a:p>
                </c:rich>
              </c:tx>
              <c:spPr/>
              <c:dLblPos val="t"/>
            </c:dLbl>
            <c:dLbl>
              <c:idx val="30"/>
              <c:tx>
                <c:rich>
                  <a:bodyPr/>
                  <a:lstStyle/>
                  <a:p>
                    <a:pPr>
                      <a:defRPr sz="700" b="0" i="0">
                        <a:solidFill>
                          <a:srgbClr val="000000"/>
                        </a:solidFill>
                        <a:latin typeface="Arial Narrow"/>
                      </a:defRPr>
                    </a:pPr>
                    <a:r>
                      <a:rPr lang="en-US"/>
                      <a:t>Slovak Republic</a:t>
                    </a:r>
                  </a:p>
                </c:rich>
              </c:tx>
              <c:spPr/>
              <c:dLblPos val="t"/>
            </c:dLbl>
            <c:dLbl>
              <c:idx val="31"/>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32"/>
              <c:layout>
                <c:manualLayout>
                  <c:x val="-2.0126351914177477E-2"/>
                  <c:y val="-3.6890302372127752E-2"/>
                </c:manualLayout>
              </c:layout>
              <c:tx>
                <c:rich>
                  <a:bodyPr/>
                  <a:lstStyle/>
                  <a:p>
                    <a:pPr>
                      <a:defRPr sz="700" b="0" i="0">
                        <a:solidFill>
                          <a:srgbClr val="000000"/>
                        </a:solidFill>
                        <a:latin typeface="Arial Narrow"/>
                      </a:defRPr>
                    </a:pPr>
                    <a:r>
                      <a:rPr lang="ru-RU"/>
                      <a:t>Испания</a:t>
                    </a:r>
                    <a:endParaRPr lang="en-US"/>
                  </a:p>
                </c:rich>
              </c:tx>
              <c:spPr/>
              <c:dLblPos val="r"/>
            </c:dLbl>
            <c:dLbl>
              <c:idx val="33"/>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34"/>
              <c:tx>
                <c:rich>
                  <a:bodyPr/>
                  <a:lstStyle/>
                  <a:p>
                    <a:pPr>
                      <a:defRPr sz="700" b="0" i="0">
                        <a:solidFill>
                          <a:srgbClr val="000000"/>
                        </a:solidFill>
                        <a:latin typeface="Arial Narrow"/>
                      </a:defRPr>
                    </a:pPr>
                    <a:endParaRPr lang="en-GB" sz="700" b="0" i="0">
                      <a:solidFill>
                        <a:srgbClr val="000000"/>
                      </a:solidFill>
                      <a:latin typeface="Arial Narrow"/>
                    </a:endParaRPr>
                  </a:p>
                </c:rich>
              </c:tx>
              <c:spPr/>
            </c:dLbl>
            <c:dLbl>
              <c:idx val="35"/>
              <c:tx>
                <c:rich>
                  <a:bodyPr/>
                  <a:lstStyle/>
                  <a:p>
                    <a:pPr>
                      <a:defRPr sz="700" b="0" i="0">
                        <a:solidFill>
                          <a:srgbClr val="000000"/>
                        </a:solidFill>
                        <a:latin typeface="Arial Narrow"/>
                      </a:defRPr>
                    </a:pPr>
                    <a:r>
                      <a:rPr lang="ru-RU"/>
                      <a:t>Турция</a:t>
                    </a:r>
                    <a:endParaRPr lang="en-US"/>
                  </a:p>
                </c:rich>
              </c:tx>
              <c:spPr/>
              <c:dLblPos val="t"/>
            </c:dLbl>
            <c:dLbl>
              <c:idx val="36"/>
              <c:layout>
                <c:manualLayout>
                  <c:x val="-0.11471214382286271"/>
                  <c:y val="-2.9587113955329539E-2"/>
                </c:manualLayout>
              </c:layout>
              <c:tx>
                <c:rich>
                  <a:bodyPr/>
                  <a:lstStyle/>
                  <a:p>
                    <a:pPr>
                      <a:defRPr sz="700" b="0" i="0">
                        <a:solidFill>
                          <a:srgbClr val="000000"/>
                        </a:solidFill>
                        <a:latin typeface="Arial Narrow"/>
                      </a:defRPr>
                    </a:pPr>
                    <a:r>
                      <a:rPr lang="ru-RU"/>
                      <a:t>Соединенное Королевство</a:t>
                    </a:r>
                    <a:endParaRPr lang="en-US"/>
                  </a:p>
                </c:rich>
              </c:tx>
              <c:spPr/>
              <c:dLblPos val="r"/>
            </c:dLbl>
            <c:txPr>
              <a:bodyPr/>
              <a:lstStyle/>
              <a:p>
                <a:pPr>
                  <a:defRPr sz="800"/>
                </a:pPr>
                <a:endParaRPr lang="ru-RU"/>
              </a:p>
            </c:txPr>
            <c:showVal val="1"/>
          </c:dLbls>
          <c:xVal>
            <c:numRef>
              <c:f>EAAG_Graph!$B$29:$B$65</c:f>
              <c:numCache>
                <c:formatCode>_(* #,##0_);_(* \(#,##0\);_(* "-"??_);_(@_)</c:formatCode>
                <c:ptCount val="37"/>
                <c:pt idx="0">
                  <c:v>898.71801340826403</c:v>
                </c:pt>
                <c:pt idx="1">
                  <c:v>338.91764946556913</c:v>
                </c:pt>
                <c:pt idx="2">
                  <c:v>416.52924864367861</c:v>
                </c:pt>
                <c:pt idx="3">
                  <c:v>2291.15245</c:v>
                </c:pt>
                <c:pt idx="5">
                  <c:v>1359.2702438351198</c:v>
                </c:pt>
                <c:pt idx="6">
                  <c:v>283.88790910477331</c:v>
                </c:pt>
                <c:pt idx="7">
                  <c:v>233.02225030099132</c:v>
                </c:pt>
                <c:pt idx="8">
                  <c:v>30.943154079040781</c:v>
                </c:pt>
                <c:pt idx="9">
                  <c:v>208.0839065257025</c:v>
                </c:pt>
                <c:pt idx="10">
                  <c:v>2369.5890637466337</c:v>
                </c:pt>
                <c:pt idx="11">
                  <c:v>3352.0990600539039</c:v>
                </c:pt>
                <c:pt idx="12">
                  <c:v>300.83372153497555</c:v>
                </c:pt>
                <c:pt idx="13">
                  <c:v>223.49705328605779</c:v>
                </c:pt>
                <c:pt idx="14">
                  <c:v>196.55458117633705</c:v>
                </c:pt>
                <c:pt idx="15">
                  <c:v>234.2091470368515</c:v>
                </c:pt>
                <c:pt idx="16">
                  <c:v>2056.0853681618937</c:v>
                </c:pt>
                <c:pt idx="17">
                  <c:v>4525.7536133491585</c:v>
                </c:pt>
                <c:pt idx="18">
                  <c:v>1445.3324775343294</c:v>
                </c:pt>
                <c:pt idx="21">
                  <c:v>46.054170134269135</c:v>
                </c:pt>
                <c:pt idx="22">
                  <c:v>1627.0679</c:v>
                </c:pt>
                <c:pt idx="23">
                  <c:v>720.27445964578305</c:v>
                </c:pt>
                <c:pt idx="24">
                  <c:v>139.69576747048094</c:v>
                </c:pt>
                <c:pt idx="25">
                  <c:v>306.57810222620179</c:v>
                </c:pt>
                <c:pt idx="26">
                  <c:v>838.04834321134854</c:v>
                </c:pt>
                <c:pt idx="27">
                  <c:v>272.67803407222829</c:v>
                </c:pt>
                <c:pt idx="29">
                  <c:v>2884.9417999999996</c:v>
                </c:pt>
                <c:pt idx="31">
                  <c:v>57.799647563704944</c:v>
                </c:pt>
                <c:pt idx="32">
                  <c:v>1483.223708404048</c:v>
                </c:pt>
                <c:pt idx="33">
                  <c:v>394.62472677709923</c:v>
                </c:pt>
                <c:pt idx="34">
                  <c:v>405.92124449541899</c:v>
                </c:pt>
                <c:pt idx="35">
                  <c:v>1314.8965236567999</c:v>
                </c:pt>
                <c:pt idx="36">
                  <c:v>2201.4392901067918</c:v>
                </c:pt>
              </c:numCache>
            </c:numRef>
          </c:xVal>
          <c:yVal>
            <c:numRef>
              <c:f>EAAG_Graph!$C$29:$C$65</c:f>
              <c:numCache>
                <c:formatCode>_(* #,##0_);_(* \(#,##0\);_(* "-"??_);_(@_)</c:formatCode>
                <c:ptCount val="37"/>
                <c:pt idx="0">
                  <c:v>1501.953</c:v>
                </c:pt>
                <c:pt idx="1">
                  <c:v>302.79799999999869</c:v>
                </c:pt>
                <c:pt idx="2">
                  <c:v>445.51499999999999</c:v>
                </c:pt>
                <c:pt idx="3">
                  <c:v>1670.1589999999999</c:v>
                </c:pt>
                <c:pt idx="4">
                  <c:v>280.625</c:v>
                </c:pt>
                <c:pt idx="5">
                  <c:v>738.91</c:v>
                </c:pt>
                <c:pt idx="6">
                  <c:v>1049.4080000000001</c:v>
                </c:pt>
                <c:pt idx="7">
                  <c:v>206.55500000000001</c:v>
                </c:pt>
                <c:pt idx="8">
                  <c:v>54.626000000000012</c:v>
                </c:pt>
                <c:pt idx="9">
                  <c:v>224.148</c:v>
                </c:pt>
                <c:pt idx="10">
                  <c:v>2470.9699999999998</c:v>
                </c:pt>
                <c:pt idx="11">
                  <c:v>2140.6709999999998</c:v>
                </c:pt>
                <c:pt idx="12">
                  <c:v>405.23399999999697</c:v>
                </c:pt>
                <c:pt idx="13">
                  <c:v>540.05199999999797</c:v>
                </c:pt>
                <c:pt idx="14">
                  <c:v>110.04400000000012</c:v>
                </c:pt>
                <c:pt idx="15">
                  <c:v>383.03699999999691</c:v>
                </c:pt>
                <c:pt idx="16">
                  <c:v>3701.6479999999997</c:v>
                </c:pt>
                <c:pt idx="17">
                  <c:v>3064</c:v>
                </c:pt>
                <c:pt idx="18">
                  <c:v>5305</c:v>
                </c:pt>
                <c:pt idx="19">
                  <c:v>78.61</c:v>
                </c:pt>
                <c:pt idx="20">
                  <c:v>125.069</c:v>
                </c:pt>
                <c:pt idx="21">
                  <c:v>29.023</c:v>
                </c:pt>
                <c:pt idx="22">
                  <c:v>4706.1860000000024</c:v>
                </c:pt>
                <c:pt idx="23">
                  <c:v>803.87300000000005</c:v>
                </c:pt>
                <c:pt idx="24">
                  <c:v>83</c:v>
                </c:pt>
                <c:pt idx="25">
                  <c:v>271.01799999999969</c:v>
                </c:pt>
                <c:pt idx="26">
                  <c:v>1502.8209999999999</c:v>
                </c:pt>
                <c:pt idx="27">
                  <c:v>826.15800000000002</c:v>
                </c:pt>
                <c:pt idx="28">
                  <c:v>405.87799999999999</c:v>
                </c:pt>
                <c:pt idx="29">
                  <c:v>1186.557</c:v>
                </c:pt>
                <c:pt idx="30">
                  <c:v>345.84699999999964</c:v>
                </c:pt>
                <c:pt idx="31">
                  <c:v>116.37299999999998</c:v>
                </c:pt>
                <c:pt idx="32">
                  <c:v>2198.8809999999999</c:v>
                </c:pt>
                <c:pt idx="33">
                  <c:v>646.79700000000003</c:v>
                </c:pt>
                <c:pt idx="34">
                  <c:v>134.35900000000001</c:v>
                </c:pt>
                <c:pt idx="35">
                  <c:v>2294.5540000000001</c:v>
                </c:pt>
                <c:pt idx="36">
                  <c:v>1594.924</c:v>
                </c:pt>
              </c:numCache>
            </c:numRef>
          </c:yVal>
        </c:ser>
        <c:axId val="86681088"/>
        <c:axId val="86683008"/>
      </c:scatterChart>
      <c:valAx>
        <c:axId val="86681088"/>
        <c:scaling>
          <c:orientation val="minMax"/>
        </c:scaling>
        <c:axPos val="b"/>
        <c:majorGridlines>
          <c:spPr>
            <a:ln w="9525" cmpd="sng">
              <a:solidFill>
                <a:srgbClr val="FFFFFF"/>
              </a:solidFill>
              <a:prstDash val="solid"/>
            </a:ln>
          </c:spPr>
        </c:majorGridlines>
        <c:title>
          <c:tx>
            <c:rich>
              <a:bodyPr/>
              <a:lstStyle/>
              <a:p>
                <a:pPr>
                  <a:defRPr sz="700" b="0" i="0">
                    <a:solidFill>
                      <a:srgbClr val="000000"/>
                    </a:solidFill>
                    <a:latin typeface="Arial Narrow"/>
                  </a:defRPr>
                </a:pPr>
                <a:r>
                  <a:rPr lang="ru-RU" sz="700" b="0" i="0">
                    <a:solidFill>
                      <a:srgbClr val="000000"/>
                    </a:solidFill>
                    <a:latin typeface="Arial Narrow"/>
                  </a:rPr>
                  <a:t>ВВП</a:t>
                </a:r>
                <a:r>
                  <a:rPr lang="en-GB" sz="700" b="0" i="0">
                    <a:solidFill>
                      <a:srgbClr val="000000"/>
                    </a:solidFill>
                    <a:latin typeface="Arial Narrow"/>
                  </a:rPr>
                  <a:t>,</a:t>
                </a:r>
                <a:r>
                  <a:rPr lang="en-GB" sz="700" b="0" i="0" baseline="0">
                    <a:solidFill>
                      <a:srgbClr val="000000"/>
                    </a:solidFill>
                    <a:latin typeface="Arial Narrow"/>
                  </a:rPr>
                  <a:t> </a:t>
                </a:r>
                <a:r>
                  <a:rPr lang="ru-RU" sz="700" b="0" i="0" baseline="0">
                    <a:solidFill>
                      <a:srgbClr val="000000"/>
                    </a:solidFill>
                    <a:latin typeface="Arial Narrow"/>
                  </a:rPr>
                  <a:t>в миллиардах </a:t>
                </a:r>
                <a:r>
                  <a:rPr lang="ru-RU" sz="700" b="0" i="0">
                    <a:solidFill>
                      <a:srgbClr val="000000"/>
                    </a:solidFill>
                    <a:latin typeface="Arial Narrow"/>
                  </a:rPr>
                  <a:t>долларов США</a:t>
                </a:r>
                <a:endParaRPr lang="en-GB" sz="700" b="0" i="0">
                  <a:solidFill>
                    <a:srgbClr val="000000"/>
                  </a:solidFill>
                  <a:latin typeface="Arial Narrow"/>
                </a:endParaRPr>
              </a:p>
            </c:rich>
          </c:tx>
          <c:layout>
            <c:manualLayout>
              <c:xMode val="edge"/>
              <c:yMode val="edge"/>
              <c:x val="0.84259756687040621"/>
              <c:y val="0.92133766861231858"/>
            </c:manualLayout>
          </c:layout>
        </c:title>
        <c:numFmt formatCode="\О\с\н\о\в\н\о\й" sourceLinked="0"/>
        <c:majorTickMark val="in"/>
        <c:tickLblPos val="low"/>
        <c:spPr>
          <a:noFill/>
          <a:ln w="9525">
            <a:solidFill>
              <a:srgbClr val="000000"/>
            </a:solidFill>
            <a:prstDash val="solid"/>
          </a:ln>
          <a:extLst>
            <a:ext uri="{909E8E84-426E-40DD-AFC4-6F175D3DCCD1}">
              <a14:hiddenFill xmlns="" xmlns:r="http://schemas.openxmlformats.org/officeDocument/2006/relationships" xmlns:a14="http://schemas.microsoft.com/office/drawing/2010/main">
                <a:noFill/>
              </a14:hiddenFill>
            </a:ext>
          </a:extLst>
        </c:spPr>
        <c:txPr>
          <a:bodyPr rot="0" vert="horz"/>
          <a:lstStyle/>
          <a:p>
            <a:pPr>
              <a:defRPr sz="700" b="0" i="0" u="none" strike="noStrike" baseline="0">
                <a:solidFill>
                  <a:srgbClr val="000000"/>
                </a:solidFill>
                <a:latin typeface="Arial Narrow"/>
                <a:ea typeface="Arial Narrow"/>
                <a:cs typeface="Arial Narrow"/>
              </a:defRPr>
            </a:pPr>
            <a:endParaRPr lang="ru-RU"/>
          </a:p>
        </c:txPr>
        <c:crossAx val="86683008"/>
        <c:crosses val="autoZero"/>
        <c:crossBetween val="midCat"/>
      </c:valAx>
      <c:valAx>
        <c:axId val="86683008"/>
        <c:scaling>
          <c:orientation val="minMax"/>
        </c:scaling>
        <c:axPos val="l"/>
        <c:majorGridlines>
          <c:spPr>
            <a:ln w="9525" cmpd="sng">
              <a:solidFill>
                <a:srgbClr val="FFFFFF"/>
              </a:solidFill>
              <a:prstDash val="solid"/>
            </a:ln>
          </c:spPr>
        </c:majorGridlines>
        <c:title>
          <c:tx>
            <c:rich>
              <a:bodyPr rot="-5400000" vert="horz"/>
              <a:lstStyle/>
              <a:p>
                <a:pPr>
                  <a:defRPr sz="700" b="0" i="0">
                    <a:solidFill>
                      <a:srgbClr val="000000"/>
                    </a:solidFill>
                    <a:latin typeface="Arial Narrow"/>
                  </a:defRPr>
                </a:pPr>
                <a:r>
                  <a:rPr lang="ru-RU" sz="700" b="0" i="0">
                    <a:solidFill>
                      <a:srgbClr val="000000"/>
                    </a:solidFill>
                    <a:latin typeface="Arial Narrow"/>
                  </a:rPr>
                  <a:t>В тысячах фирм</a:t>
                </a:r>
                <a:endParaRPr lang="en-GB" sz="700" b="0" i="0">
                  <a:solidFill>
                    <a:srgbClr val="000000"/>
                  </a:solidFill>
                  <a:latin typeface="Arial Narrow"/>
                </a:endParaRPr>
              </a:p>
            </c:rich>
          </c:tx>
          <c:layout>
            <c:manualLayout>
              <c:xMode val="edge"/>
              <c:yMode val="edge"/>
              <c:x val="1.4621726501054838E-2"/>
              <c:y val="0.25897024066021601"/>
            </c:manualLayout>
          </c:layout>
        </c:title>
        <c:numFmt formatCode="\О\с\н\о\в\н\о\й" sourceLinked="0"/>
        <c:majorTickMark val="in"/>
        <c:tickLblPos val="nextTo"/>
        <c:spPr>
          <a:noFill/>
          <a:ln w="9525">
            <a:solidFill>
              <a:srgbClr val="000000"/>
            </a:solidFill>
            <a:prstDash val="solid"/>
          </a:ln>
          <a:extLst>
            <a:ext uri="{909E8E84-426E-40DD-AFC4-6F175D3DCCD1}">
              <a14:hiddenFill xmlns="" xmlns:r="http://schemas.openxmlformats.org/officeDocument/2006/relationships" xmlns:a14="http://schemas.microsoft.com/office/drawing/2010/main">
                <a:noFill/>
              </a14:hiddenFill>
            </a:ext>
          </a:extLst>
        </c:spPr>
        <c:txPr>
          <a:bodyPr rot="-60000000" vert="horz"/>
          <a:lstStyle/>
          <a:p>
            <a:pPr>
              <a:defRPr sz="700" b="0" i="0">
                <a:solidFill>
                  <a:srgbClr val="000000"/>
                </a:solidFill>
                <a:latin typeface="Arial Narrow"/>
                <a:ea typeface="Arial Narrow"/>
                <a:cs typeface="Arial Narrow"/>
              </a:defRPr>
            </a:pPr>
            <a:endParaRPr lang="ru-RU"/>
          </a:p>
        </c:txPr>
        <c:crossAx val="86681088"/>
        <c:crosses val="autoZero"/>
        <c:crossBetween val="midCat"/>
      </c:valAx>
      <c:spPr>
        <a:solidFill>
          <a:srgbClr val="EAEAEA"/>
        </a:solidFill>
        <a:ln w="25400">
          <a:noFill/>
        </a:ln>
      </c:spPr>
    </c:plotArea>
    <c:plotVisOnly val="1"/>
    <c:dispBlanksAs val="gap"/>
  </c:chart>
  <c:spPr>
    <a:noFill/>
    <a:ln w="9525">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3"/>
  <c:chart>
    <c:plotArea>
      <c:layout>
        <c:manualLayout>
          <c:xMode val="edge"/>
          <c:yMode val="edge"/>
          <c:x val="8.7445796086387494E-3"/>
          <c:y val="0.15403329778907493"/>
          <c:w val="0.98906927548920154"/>
          <c:h val="0.84098650145001452"/>
        </c:manualLayout>
      </c:layout>
      <c:barChart>
        <c:barDir val="col"/>
        <c:grouping val="stacked"/>
        <c:ser>
          <c:idx val="0"/>
          <c:order val="0"/>
          <c:tx>
            <c:strRef>
              <c:f>'[Figure 2.3 share of employment by enterprise size class.xls]EAAG_Graph'!$B$29</c:f>
              <c:strCache>
                <c:ptCount val="1"/>
                <c:pt idx="0">
                  <c:v>1-9</c:v>
                </c:pt>
              </c:strCache>
            </c:strRef>
          </c:tx>
          <c:cat>
            <c:strRef>
              <c:f>'[Figure 2.3 share of employment by enterprise size class.xls]EAAG_Graph'!$A$30:$A$65</c:f>
              <c:strCache>
                <c:ptCount val="36"/>
                <c:pt idx="0">
                  <c:v>Russian Fed. (2010)</c:v>
                </c:pt>
                <c:pt idx="1">
                  <c:v>United States (2010)</c:v>
                </c:pt>
                <c:pt idx="2">
                  <c:v>Switzerland</c:v>
                </c:pt>
                <c:pt idx="3">
                  <c:v>Germany</c:v>
                </c:pt>
                <c:pt idx="4">
                  <c:v>United Kingdom</c:v>
                </c:pt>
                <c:pt idx="5">
                  <c:v>New Zealand (2010)</c:v>
                </c:pt>
                <c:pt idx="6">
                  <c:v>Estonia</c:v>
                </c:pt>
                <c:pt idx="7">
                  <c:v>Romania</c:v>
                </c:pt>
                <c:pt idx="8">
                  <c:v>Norway</c:v>
                </c:pt>
                <c:pt idx="9">
                  <c:v>Finland</c:v>
                </c:pt>
                <c:pt idx="10">
                  <c:v>Latvia</c:v>
                </c:pt>
                <c:pt idx="11">
                  <c:v>Japan (2009)</c:v>
                </c:pt>
                <c:pt idx="12">
                  <c:v>Sweden</c:v>
                </c:pt>
                <c:pt idx="13">
                  <c:v>Brazil</c:v>
                </c:pt>
                <c:pt idx="14">
                  <c:v>Denmark (2010)</c:v>
                </c:pt>
                <c:pt idx="15">
                  <c:v>Luxembourg</c:v>
                </c:pt>
                <c:pt idx="16">
                  <c:v>Netherlands</c:v>
                </c:pt>
                <c:pt idx="17">
                  <c:v>Austria</c:v>
                </c:pt>
                <c:pt idx="18">
                  <c:v>France</c:v>
                </c:pt>
                <c:pt idx="19">
                  <c:v>OECD</c:v>
                </c:pt>
                <c:pt idx="20">
                  <c:v>Bulgaria</c:v>
                </c:pt>
                <c:pt idx="21">
                  <c:v>Lithuania</c:v>
                </c:pt>
                <c:pt idx="22">
                  <c:v>Belgium</c:v>
                </c:pt>
                <c:pt idx="23">
                  <c:v>Korea</c:v>
                </c:pt>
                <c:pt idx="24">
                  <c:v>Ireland</c:v>
                </c:pt>
                <c:pt idx="25">
                  <c:v>Australia (2010)</c:v>
                </c:pt>
                <c:pt idx="26">
                  <c:v>Czech Republic</c:v>
                </c:pt>
                <c:pt idx="27">
                  <c:v>Poland</c:v>
                </c:pt>
                <c:pt idx="28">
                  <c:v>Mexico (2008)</c:v>
                </c:pt>
                <c:pt idx="29">
                  <c:v>Hungary</c:v>
                </c:pt>
                <c:pt idx="30">
                  <c:v>Spain</c:v>
                </c:pt>
                <c:pt idx="31">
                  <c:v>Portugal</c:v>
                </c:pt>
                <c:pt idx="32">
                  <c:v>Slovenia</c:v>
                </c:pt>
                <c:pt idx="33">
                  <c:v>Turkey</c:v>
                </c:pt>
                <c:pt idx="34">
                  <c:v>Italy</c:v>
                </c:pt>
                <c:pt idx="35">
                  <c:v>Greece (2009)</c:v>
                </c:pt>
              </c:strCache>
            </c:strRef>
          </c:cat>
          <c:val>
            <c:numRef>
              <c:f>'[Figure 2.3 share of employment by enterprise size class.xls]EAAG_Graph'!$B$30:$B$65</c:f>
              <c:numCache>
                <c:formatCode>\О\с\н\о\в\н\о\й</c:formatCode>
                <c:ptCount val="36"/>
                <c:pt idx="0">
                  <c:v>0.87326636297356852</c:v>
                </c:pt>
                <c:pt idx="1">
                  <c:v>11.187283666561655</c:v>
                </c:pt>
                <c:pt idx="2">
                  <c:v>16.783183351755689</c:v>
                </c:pt>
                <c:pt idx="3">
                  <c:v>19.531318091755431</c:v>
                </c:pt>
                <c:pt idx="4">
                  <c:v>19.807905654888561</c:v>
                </c:pt>
                <c:pt idx="5">
                  <c:v>19.972090320675527</c:v>
                </c:pt>
                <c:pt idx="6">
                  <c:v>21.967967691767402</c:v>
                </c:pt>
                <c:pt idx="7">
                  <c:v>22.317127915155698</c:v>
                </c:pt>
                <c:pt idx="8">
                  <c:v>25.000845953836631</c:v>
                </c:pt>
                <c:pt idx="9">
                  <c:v>26.164996786409631</c:v>
                </c:pt>
                <c:pt idx="10">
                  <c:v>26.178364594633504</c:v>
                </c:pt>
                <c:pt idx="11">
                  <c:v>26.624187377605107</c:v>
                </c:pt>
                <c:pt idx="12">
                  <c:v>27.12207632845633</c:v>
                </c:pt>
                <c:pt idx="13">
                  <c:v>28.1530161962758</c:v>
                </c:pt>
                <c:pt idx="14">
                  <c:v>28.869041107878001</c:v>
                </c:pt>
                <c:pt idx="15">
                  <c:v>30.402291692614199</c:v>
                </c:pt>
                <c:pt idx="16">
                  <c:v>30.608631684188587</c:v>
                </c:pt>
                <c:pt idx="17">
                  <c:v>30.824349254642886</c:v>
                </c:pt>
                <c:pt idx="18">
                  <c:v>31.834857664759785</c:v>
                </c:pt>
                <c:pt idx="19">
                  <c:v>32.232828117540599</c:v>
                </c:pt>
                <c:pt idx="20">
                  <c:v>32.3567459966497</c:v>
                </c:pt>
                <c:pt idx="21">
                  <c:v>33.526060204993001</c:v>
                </c:pt>
                <c:pt idx="22">
                  <c:v>34.830771777347842</c:v>
                </c:pt>
                <c:pt idx="23">
                  <c:v>38.392894647744015</c:v>
                </c:pt>
                <c:pt idx="24">
                  <c:v>38.405380443962002</c:v>
                </c:pt>
                <c:pt idx="25">
                  <c:v>39.129131433213495</c:v>
                </c:pt>
                <c:pt idx="26">
                  <c:v>40.26713237813221</c:v>
                </c:pt>
                <c:pt idx="27">
                  <c:v>40.965007378370863</c:v>
                </c:pt>
                <c:pt idx="28">
                  <c:v>41.115081762655947</c:v>
                </c:pt>
                <c:pt idx="29">
                  <c:v>41.187749979651294</c:v>
                </c:pt>
                <c:pt idx="30">
                  <c:v>41.516518814917013</c:v>
                </c:pt>
                <c:pt idx="31">
                  <c:v>45.038109455186444</c:v>
                </c:pt>
                <c:pt idx="32">
                  <c:v>45.455854990696373</c:v>
                </c:pt>
                <c:pt idx="33">
                  <c:v>47.452625734897374</c:v>
                </c:pt>
                <c:pt idx="34">
                  <c:v>48.516100131802396</c:v>
                </c:pt>
                <c:pt idx="35">
                  <c:v>60.05666956520156</c:v>
                </c:pt>
              </c:numCache>
            </c:numRef>
          </c:val>
        </c:ser>
        <c:ser>
          <c:idx val="1"/>
          <c:order val="1"/>
          <c:tx>
            <c:strRef>
              <c:f>'[Figure 2.3 share of employment by enterprise size class.xls]EAAG_Graph'!$C$29</c:f>
              <c:strCache>
                <c:ptCount val="1"/>
                <c:pt idx="0">
                  <c:v>10-19</c:v>
                </c:pt>
              </c:strCache>
            </c:strRef>
          </c:tx>
          <c:cat>
            <c:strRef>
              <c:f>'[Figure 2.3 share of employment by enterprise size class.xls]EAAG_Graph'!$A$30:$A$65</c:f>
              <c:strCache>
                <c:ptCount val="36"/>
                <c:pt idx="0">
                  <c:v>Russian Fed. (2010)</c:v>
                </c:pt>
                <c:pt idx="1">
                  <c:v>United States (2010)</c:v>
                </c:pt>
                <c:pt idx="2">
                  <c:v>Switzerland</c:v>
                </c:pt>
                <c:pt idx="3">
                  <c:v>Germany</c:v>
                </c:pt>
                <c:pt idx="4">
                  <c:v>United Kingdom</c:v>
                </c:pt>
                <c:pt idx="5">
                  <c:v>New Zealand (2010)</c:v>
                </c:pt>
                <c:pt idx="6">
                  <c:v>Estonia</c:v>
                </c:pt>
                <c:pt idx="7">
                  <c:v>Romania</c:v>
                </c:pt>
                <c:pt idx="8">
                  <c:v>Norway</c:v>
                </c:pt>
                <c:pt idx="9">
                  <c:v>Finland</c:v>
                </c:pt>
                <c:pt idx="10">
                  <c:v>Latvia</c:v>
                </c:pt>
                <c:pt idx="11">
                  <c:v>Japan (2009)</c:v>
                </c:pt>
                <c:pt idx="12">
                  <c:v>Sweden</c:v>
                </c:pt>
                <c:pt idx="13">
                  <c:v>Brazil</c:v>
                </c:pt>
                <c:pt idx="14">
                  <c:v>Denmark (2010)</c:v>
                </c:pt>
                <c:pt idx="15">
                  <c:v>Luxembourg</c:v>
                </c:pt>
                <c:pt idx="16">
                  <c:v>Netherlands</c:v>
                </c:pt>
                <c:pt idx="17">
                  <c:v>Austria</c:v>
                </c:pt>
                <c:pt idx="18">
                  <c:v>France</c:v>
                </c:pt>
                <c:pt idx="19">
                  <c:v>OECD</c:v>
                </c:pt>
                <c:pt idx="20">
                  <c:v>Bulgaria</c:v>
                </c:pt>
                <c:pt idx="21">
                  <c:v>Lithuania</c:v>
                </c:pt>
                <c:pt idx="22">
                  <c:v>Belgium</c:v>
                </c:pt>
                <c:pt idx="23">
                  <c:v>Korea</c:v>
                </c:pt>
                <c:pt idx="24">
                  <c:v>Ireland</c:v>
                </c:pt>
                <c:pt idx="25">
                  <c:v>Australia (2010)</c:v>
                </c:pt>
                <c:pt idx="26">
                  <c:v>Czech Republic</c:v>
                </c:pt>
                <c:pt idx="27">
                  <c:v>Poland</c:v>
                </c:pt>
                <c:pt idx="28">
                  <c:v>Mexico (2008)</c:v>
                </c:pt>
                <c:pt idx="29">
                  <c:v>Hungary</c:v>
                </c:pt>
                <c:pt idx="30">
                  <c:v>Spain</c:v>
                </c:pt>
                <c:pt idx="31">
                  <c:v>Portugal</c:v>
                </c:pt>
                <c:pt idx="32">
                  <c:v>Slovenia</c:v>
                </c:pt>
                <c:pt idx="33">
                  <c:v>Turkey</c:v>
                </c:pt>
                <c:pt idx="34">
                  <c:v>Italy</c:v>
                </c:pt>
                <c:pt idx="35">
                  <c:v>Greece (2009)</c:v>
                </c:pt>
              </c:strCache>
            </c:strRef>
          </c:cat>
          <c:val>
            <c:numRef>
              <c:f>'[Figure 2.3 share of employment by enterprise size class.xls]EAAG_Graph'!$C$30:$C$65</c:f>
              <c:numCache>
                <c:formatCode>\О\с\н\о\в\н\о\й</c:formatCode>
                <c:ptCount val="36"/>
                <c:pt idx="0">
                  <c:v>1.3060748903955877</c:v>
                </c:pt>
                <c:pt idx="1">
                  <c:v>7.8598295220141914</c:v>
                </c:pt>
                <c:pt idx="2">
                  <c:v>13.343817457493202</c:v>
                </c:pt>
                <c:pt idx="3">
                  <c:v>11.829000639800315</c:v>
                </c:pt>
                <c:pt idx="4">
                  <c:v>9.0834694961917002</c:v>
                </c:pt>
                <c:pt idx="5">
                  <c:v>12.648895281549605</c:v>
                </c:pt>
                <c:pt idx="6">
                  <c:v>16.676491245672999</c:v>
                </c:pt>
                <c:pt idx="7">
                  <c:v>9.4214277149985115</c:v>
                </c:pt>
                <c:pt idx="8">
                  <c:v>11.339977341972398</c:v>
                </c:pt>
                <c:pt idx="9">
                  <c:v>8.641466371603471</c:v>
                </c:pt>
                <c:pt idx="10">
                  <c:v>11.531550774084801</c:v>
                </c:pt>
                <c:pt idx="11">
                  <c:v>25.636242872769923</c:v>
                </c:pt>
                <c:pt idx="12">
                  <c:v>8.8749563788564547</c:v>
                </c:pt>
                <c:pt idx="13">
                  <c:v>11.711403468871048</c:v>
                </c:pt>
                <c:pt idx="14">
                  <c:v>13.139644271368876</c:v>
                </c:pt>
                <c:pt idx="15">
                  <c:v>16.480032609064569</c:v>
                </c:pt>
                <c:pt idx="16">
                  <c:v>7.561641224106749</c:v>
                </c:pt>
                <c:pt idx="17">
                  <c:v>12.330821525026</c:v>
                </c:pt>
                <c:pt idx="18">
                  <c:v>7.2206095063604385</c:v>
                </c:pt>
                <c:pt idx="19">
                  <c:v>9.8817775953774003</c:v>
                </c:pt>
                <c:pt idx="20">
                  <c:v>10.910523752133498</c:v>
                </c:pt>
                <c:pt idx="21">
                  <c:v>14.506920762670399</c:v>
                </c:pt>
                <c:pt idx="22">
                  <c:v>9.4897277736343</c:v>
                </c:pt>
                <c:pt idx="23">
                  <c:v>11.0000299695213</c:v>
                </c:pt>
                <c:pt idx="24">
                  <c:v>16.017889293376498</c:v>
                </c:pt>
                <c:pt idx="25">
                  <c:v>0</c:v>
                </c:pt>
                <c:pt idx="26">
                  <c:v>4.6663091045358431</c:v>
                </c:pt>
                <c:pt idx="27">
                  <c:v>4.7461146275048005</c:v>
                </c:pt>
                <c:pt idx="28">
                  <c:v>2.7985563135507427</c:v>
                </c:pt>
                <c:pt idx="29">
                  <c:v>9.8399940941863768</c:v>
                </c:pt>
                <c:pt idx="30">
                  <c:v>10.115492944306776</c:v>
                </c:pt>
                <c:pt idx="31">
                  <c:v>11.483104528065486</c:v>
                </c:pt>
                <c:pt idx="32">
                  <c:v>12.289178320628999</c:v>
                </c:pt>
                <c:pt idx="33">
                  <c:v>0</c:v>
                </c:pt>
                <c:pt idx="34">
                  <c:v>11.834486675108053</c:v>
                </c:pt>
                <c:pt idx="35">
                  <c:v>7.6055191834842724</c:v>
                </c:pt>
              </c:numCache>
            </c:numRef>
          </c:val>
        </c:ser>
        <c:ser>
          <c:idx val="2"/>
          <c:order val="2"/>
          <c:tx>
            <c:strRef>
              <c:f>'[Figure 2.3 share of employment by enterprise size class.xls]EAAG_Graph'!$D$29</c:f>
              <c:strCache>
                <c:ptCount val="1"/>
                <c:pt idx="0">
                  <c:v>20-49</c:v>
                </c:pt>
              </c:strCache>
            </c:strRef>
          </c:tx>
          <c:cat>
            <c:strRef>
              <c:f>'[Figure 2.3 share of employment by enterprise size class.xls]EAAG_Graph'!$A$30:$A$65</c:f>
              <c:strCache>
                <c:ptCount val="36"/>
                <c:pt idx="0">
                  <c:v>Russian Fed. (2010)</c:v>
                </c:pt>
                <c:pt idx="1">
                  <c:v>United States (2010)</c:v>
                </c:pt>
                <c:pt idx="2">
                  <c:v>Switzerland</c:v>
                </c:pt>
                <c:pt idx="3">
                  <c:v>Germany</c:v>
                </c:pt>
                <c:pt idx="4">
                  <c:v>United Kingdom</c:v>
                </c:pt>
                <c:pt idx="5">
                  <c:v>New Zealand (2010)</c:v>
                </c:pt>
                <c:pt idx="6">
                  <c:v>Estonia</c:v>
                </c:pt>
                <c:pt idx="7">
                  <c:v>Romania</c:v>
                </c:pt>
                <c:pt idx="8">
                  <c:v>Norway</c:v>
                </c:pt>
                <c:pt idx="9">
                  <c:v>Finland</c:v>
                </c:pt>
                <c:pt idx="10">
                  <c:v>Latvia</c:v>
                </c:pt>
                <c:pt idx="11">
                  <c:v>Japan (2009)</c:v>
                </c:pt>
                <c:pt idx="12">
                  <c:v>Sweden</c:v>
                </c:pt>
                <c:pt idx="13">
                  <c:v>Brazil</c:v>
                </c:pt>
                <c:pt idx="14">
                  <c:v>Denmark (2010)</c:v>
                </c:pt>
                <c:pt idx="15">
                  <c:v>Luxembourg</c:v>
                </c:pt>
                <c:pt idx="16">
                  <c:v>Netherlands</c:v>
                </c:pt>
                <c:pt idx="17">
                  <c:v>Austria</c:v>
                </c:pt>
                <c:pt idx="18">
                  <c:v>France</c:v>
                </c:pt>
                <c:pt idx="19">
                  <c:v>OECD</c:v>
                </c:pt>
                <c:pt idx="20">
                  <c:v>Bulgaria</c:v>
                </c:pt>
                <c:pt idx="21">
                  <c:v>Lithuania</c:v>
                </c:pt>
                <c:pt idx="22">
                  <c:v>Belgium</c:v>
                </c:pt>
                <c:pt idx="23">
                  <c:v>Korea</c:v>
                </c:pt>
                <c:pt idx="24">
                  <c:v>Ireland</c:v>
                </c:pt>
                <c:pt idx="25">
                  <c:v>Australia (2010)</c:v>
                </c:pt>
                <c:pt idx="26">
                  <c:v>Czech Republic</c:v>
                </c:pt>
                <c:pt idx="27">
                  <c:v>Poland</c:v>
                </c:pt>
                <c:pt idx="28">
                  <c:v>Mexico (2008)</c:v>
                </c:pt>
                <c:pt idx="29">
                  <c:v>Hungary</c:v>
                </c:pt>
                <c:pt idx="30">
                  <c:v>Spain</c:v>
                </c:pt>
                <c:pt idx="31">
                  <c:v>Portugal</c:v>
                </c:pt>
                <c:pt idx="32">
                  <c:v>Slovenia</c:v>
                </c:pt>
                <c:pt idx="33">
                  <c:v>Turkey</c:v>
                </c:pt>
                <c:pt idx="34">
                  <c:v>Italy</c:v>
                </c:pt>
                <c:pt idx="35">
                  <c:v>Greece (2009)</c:v>
                </c:pt>
              </c:strCache>
            </c:strRef>
          </c:cat>
          <c:val>
            <c:numRef>
              <c:f>'[Figure 2.3 share of employment by enterprise size class.xls]EAAG_Graph'!$D$30:$D$65</c:f>
              <c:numCache>
                <c:formatCode>\О\с\н\о\в\н\о\й</c:formatCode>
                <c:ptCount val="36"/>
                <c:pt idx="0">
                  <c:v>3.582566804281945</c:v>
                </c:pt>
                <c:pt idx="1">
                  <c:v>17.574984887233658</c:v>
                </c:pt>
                <c:pt idx="2">
                  <c:v>15.194603361987898</c:v>
                </c:pt>
                <c:pt idx="3">
                  <c:v>12.532680007566524</c:v>
                </c:pt>
                <c:pt idx="4">
                  <c:v>11.596228061912788</c:v>
                </c:pt>
                <c:pt idx="5">
                  <c:v>13.834818515643256</c:v>
                </c:pt>
                <c:pt idx="6">
                  <c:v>16.870892489840898</c:v>
                </c:pt>
                <c:pt idx="7">
                  <c:v>12.881007833392704</c:v>
                </c:pt>
                <c:pt idx="8">
                  <c:v>13.136241880534998</c:v>
                </c:pt>
                <c:pt idx="9">
                  <c:v>12.845086204796576</c:v>
                </c:pt>
                <c:pt idx="10">
                  <c:v>14.888510418247504</c:v>
                </c:pt>
                <c:pt idx="11">
                  <c:v>10.709040380556068</c:v>
                </c:pt>
                <c:pt idx="12">
                  <c:v>13.864118080694999</c:v>
                </c:pt>
                <c:pt idx="13">
                  <c:v>10.785990342404899</c:v>
                </c:pt>
                <c:pt idx="14">
                  <c:v>14.2263193973469</c:v>
                </c:pt>
                <c:pt idx="15">
                  <c:v>27.016836694256035</c:v>
                </c:pt>
                <c:pt idx="16">
                  <c:v>12.475670398470006</c:v>
                </c:pt>
                <c:pt idx="17">
                  <c:v>13.888503283285402</c:v>
                </c:pt>
                <c:pt idx="18">
                  <c:v>11.2994140541325</c:v>
                </c:pt>
                <c:pt idx="19">
                  <c:v>11.6846943223309</c:v>
                </c:pt>
                <c:pt idx="20">
                  <c:v>14.178809931450301</c:v>
                </c:pt>
                <c:pt idx="21">
                  <c:v>16.243566473557031</c:v>
                </c:pt>
                <c:pt idx="22">
                  <c:v>12.754712781016398</c:v>
                </c:pt>
                <c:pt idx="23">
                  <c:v>15.0045838924534</c:v>
                </c:pt>
                <c:pt idx="24">
                  <c:v>16.984766429364587</c:v>
                </c:pt>
                <c:pt idx="25">
                  <c:v>25.156610186569687</c:v>
                </c:pt>
                <c:pt idx="26">
                  <c:v>13.146943063955097</c:v>
                </c:pt>
                <c:pt idx="27">
                  <c:v>8.7433829219866688</c:v>
                </c:pt>
                <c:pt idx="28">
                  <c:v>16.527162364692298</c:v>
                </c:pt>
                <c:pt idx="29">
                  <c:v>9.3051109895455717</c:v>
                </c:pt>
                <c:pt idx="30">
                  <c:v>11.511463414246199</c:v>
                </c:pt>
                <c:pt idx="31">
                  <c:v>13.281689441654098</c:v>
                </c:pt>
                <c:pt idx="32">
                  <c:v>5.0912310185463001</c:v>
                </c:pt>
                <c:pt idx="33">
                  <c:v>12.572916553174421</c:v>
                </c:pt>
                <c:pt idx="34">
                  <c:v>9.0072757511060182</c:v>
                </c:pt>
                <c:pt idx="35">
                  <c:v>10.0296591635837</c:v>
                </c:pt>
              </c:numCache>
            </c:numRef>
          </c:val>
        </c:ser>
        <c:ser>
          <c:idx val="3"/>
          <c:order val="3"/>
          <c:tx>
            <c:strRef>
              <c:f>'[Figure 2.3 share of employment by enterprise size class.xls]EAAG_Graph'!$E$29</c:f>
              <c:strCache>
                <c:ptCount val="1"/>
                <c:pt idx="0">
                  <c:v>50-249</c:v>
                </c:pt>
              </c:strCache>
            </c:strRef>
          </c:tx>
          <c:cat>
            <c:strRef>
              <c:f>'[Figure 2.3 share of employment by enterprise size class.xls]EAAG_Graph'!$A$30:$A$65</c:f>
              <c:strCache>
                <c:ptCount val="36"/>
                <c:pt idx="0">
                  <c:v>Russian Fed. (2010)</c:v>
                </c:pt>
                <c:pt idx="1">
                  <c:v>United States (2010)</c:v>
                </c:pt>
                <c:pt idx="2">
                  <c:v>Switzerland</c:v>
                </c:pt>
                <c:pt idx="3">
                  <c:v>Germany</c:v>
                </c:pt>
                <c:pt idx="4">
                  <c:v>United Kingdom</c:v>
                </c:pt>
                <c:pt idx="5">
                  <c:v>New Zealand (2010)</c:v>
                </c:pt>
                <c:pt idx="6">
                  <c:v>Estonia</c:v>
                </c:pt>
                <c:pt idx="7">
                  <c:v>Romania</c:v>
                </c:pt>
                <c:pt idx="8">
                  <c:v>Norway</c:v>
                </c:pt>
                <c:pt idx="9">
                  <c:v>Finland</c:v>
                </c:pt>
                <c:pt idx="10">
                  <c:v>Latvia</c:v>
                </c:pt>
                <c:pt idx="11">
                  <c:v>Japan (2009)</c:v>
                </c:pt>
                <c:pt idx="12">
                  <c:v>Sweden</c:v>
                </c:pt>
                <c:pt idx="13">
                  <c:v>Brazil</c:v>
                </c:pt>
                <c:pt idx="14">
                  <c:v>Denmark (2010)</c:v>
                </c:pt>
                <c:pt idx="15">
                  <c:v>Luxembourg</c:v>
                </c:pt>
                <c:pt idx="16">
                  <c:v>Netherlands</c:v>
                </c:pt>
                <c:pt idx="17">
                  <c:v>Austria</c:v>
                </c:pt>
                <c:pt idx="18">
                  <c:v>France</c:v>
                </c:pt>
                <c:pt idx="19">
                  <c:v>OECD</c:v>
                </c:pt>
                <c:pt idx="20">
                  <c:v>Bulgaria</c:v>
                </c:pt>
                <c:pt idx="21">
                  <c:v>Lithuania</c:v>
                </c:pt>
                <c:pt idx="22">
                  <c:v>Belgium</c:v>
                </c:pt>
                <c:pt idx="23">
                  <c:v>Korea</c:v>
                </c:pt>
                <c:pt idx="24">
                  <c:v>Ireland</c:v>
                </c:pt>
                <c:pt idx="25">
                  <c:v>Australia (2010)</c:v>
                </c:pt>
                <c:pt idx="26">
                  <c:v>Czech Republic</c:v>
                </c:pt>
                <c:pt idx="27">
                  <c:v>Poland</c:v>
                </c:pt>
                <c:pt idx="28">
                  <c:v>Mexico (2008)</c:v>
                </c:pt>
                <c:pt idx="29">
                  <c:v>Hungary</c:v>
                </c:pt>
                <c:pt idx="30">
                  <c:v>Spain</c:v>
                </c:pt>
                <c:pt idx="31">
                  <c:v>Portugal</c:v>
                </c:pt>
                <c:pt idx="32">
                  <c:v>Slovenia</c:v>
                </c:pt>
                <c:pt idx="33">
                  <c:v>Turkey</c:v>
                </c:pt>
                <c:pt idx="34">
                  <c:v>Italy</c:v>
                </c:pt>
                <c:pt idx="35">
                  <c:v>Greece (2009)</c:v>
                </c:pt>
              </c:strCache>
            </c:strRef>
          </c:cat>
          <c:val>
            <c:numRef>
              <c:f>'[Figure 2.3 share of employment by enterprise size class.xls]EAAG_Graph'!$E$30:$E$65</c:f>
              <c:numCache>
                <c:formatCode>\О\с\н\о\в\н\о\й</c:formatCode>
                <c:ptCount val="36"/>
                <c:pt idx="0">
                  <c:v>23.53894462340083</c:v>
                </c:pt>
                <c:pt idx="1">
                  <c:v>13.603410629530002</c:v>
                </c:pt>
                <c:pt idx="2">
                  <c:v>21.647891499724679</c:v>
                </c:pt>
                <c:pt idx="3">
                  <c:v>19.596266530055402</c:v>
                </c:pt>
                <c:pt idx="4">
                  <c:v>16.360452349117686</c:v>
                </c:pt>
                <c:pt idx="5">
                  <c:v>21.838609659797189</c:v>
                </c:pt>
                <c:pt idx="6">
                  <c:v>22.954397230722691</c:v>
                </c:pt>
                <c:pt idx="7">
                  <c:v>21.75829325071998</c:v>
                </c:pt>
                <c:pt idx="8">
                  <c:v>18.727793711788188</c:v>
                </c:pt>
                <c:pt idx="9">
                  <c:v>18.739822849658299</c:v>
                </c:pt>
                <c:pt idx="10">
                  <c:v>24.096026620350788</c:v>
                </c:pt>
                <c:pt idx="11">
                  <c:v>24.097216800563004</c:v>
                </c:pt>
                <c:pt idx="12">
                  <c:v>18.760488590565242</c:v>
                </c:pt>
                <c:pt idx="13">
                  <c:v>13.556344350482426</c:v>
                </c:pt>
                <c:pt idx="14">
                  <c:v>17.785611148788831</c:v>
                </c:pt>
                <c:pt idx="15">
                  <c:v>10.276384469932799</c:v>
                </c:pt>
                <c:pt idx="16">
                  <c:v>19.883388890420502</c:v>
                </c:pt>
                <c:pt idx="17">
                  <c:v>16.758876933519502</c:v>
                </c:pt>
                <c:pt idx="18">
                  <c:v>16.561722781976489</c:v>
                </c:pt>
                <c:pt idx="19">
                  <c:v>16.903864494469399</c:v>
                </c:pt>
                <c:pt idx="20">
                  <c:v>21.1148262893817</c:v>
                </c:pt>
                <c:pt idx="21">
                  <c:v>17.989201429863787</c:v>
                </c:pt>
                <c:pt idx="22">
                  <c:v>16.171193625473705</c:v>
                </c:pt>
                <c:pt idx="23">
                  <c:v>19.855409697198287</c:v>
                </c:pt>
                <c:pt idx="24">
                  <c:v>11.6230095555707</c:v>
                </c:pt>
                <c:pt idx="25">
                  <c:v>0</c:v>
                </c:pt>
                <c:pt idx="26">
                  <c:v>23.859874395293069</c:v>
                </c:pt>
                <c:pt idx="27">
                  <c:v>18.987061683830401</c:v>
                </c:pt>
                <c:pt idx="28">
                  <c:v>16.355923594691323</c:v>
                </c:pt>
                <c:pt idx="29">
                  <c:v>14.533412329900226</c:v>
                </c:pt>
                <c:pt idx="30">
                  <c:v>13.423211982512093</c:v>
                </c:pt>
                <c:pt idx="31">
                  <c:v>14.896323284820401</c:v>
                </c:pt>
                <c:pt idx="32">
                  <c:v>20.586399375787465</c:v>
                </c:pt>
                <c:pt idx="33">
                  <c:v>17.290565791050735</c:v>
                </c:pt>
                <c:pt idx="34">
                  <c:v>12.547073748683648</c:v>
                </c:pt>
                <c:pt idx="35">
                  <c:v>14.338341003706498</c:v>
                </c:pt>
              </c:numCache>
            </c:numRef>
          </c:val>
        </c:ser>
        <c:ser>
          <c:idx val="4"/>
          <c:order val="4"/>
          <c:tx>
            <c:strRef>
              <c:f>'[Figure 2.3 share of employment by enterprise size class.xls]EAAG_Graph'!$F$29</c:f>
              <c:strCache>
                <c:ptCount val="1"/>
                <c:pt idx="0">
                  <c:v>250+</c:v>
                </c:pt>
              </c:strCache>
            </c:strRef>
          </c:tx>
          <c:cat>
            <c:strRef>
              <c:f>'[Figure 2.3 share of employment by enterprise size class.xls]EAAG_Graph'!$A$30:$A$65</c:f>
              <c:strCache>
                <c:ptCount val="36"/>
                <c:pt idx="0">
                  <c:v>Russian Fed. (2010)</c:v>
                </c:pt>
                <c:pt idx="1">
                  <c:v>United States (2010)</c:v>
                </c:pt>
                <c:pt idx="2">
                  <c:v>Switzerland</c:v>
                </c:pt>
                <c:pt idx="3">
                  <c:v>Germany</c:v>
                </c:pt>
                <c:pt idx="4">
                  <c:v>United Kingdom</c:v>
                </c:pt>
                <c:pt idx="5">
                  <c:v>New Zealand (2010)</c:v>
                </c:pt>
                <c:pt idx="6">
                  <c:v>Estonia</c:v>
                </c:pt>
                <c:pt idx="7">
                  <c:v>Romania</c:v>
                </c:pt>
                <c:pt idx="8">
                  <c:v>Norway</c:v>
                </c:pt>
                <c:pt idx="9">
                  <c:v>Finland</c:v>
                </c:pt>
                <c:pt idx="10">
                  <c:v>Latvia</c:v>
                </c:pt>
                <c:pt idx="11">
                  <c:v>Japan (2009)</c:v>
                </c:pt>
                <c:pt idx="12">
                  <c:v>Sweden</c:v>
                </c:pt>
                <c:pt idx="13">
                  <c:v>Brazil</c:v>
                </c:pt>
                <c:pt idx="14">
                  <c:v>Denmark (2010)</c:v>
                </c:pt>
                <c:pt idx="15">
                  <c:v>Luxembourg</c:v>
                </c:pt>
                <c:pt idx="16">
                  <c:v>Netherlands</c:v>
                </c:pt>
                <c:pt idx="17">
                  <c:v>Austria</c:v>
                </c:pt>
                <c:pt idx="18">
                  <c:v>France</c:v>
                </c:pt>
                <c:pt idx="19">
                  <c:v>OECD</c:v>
                </c:pt>
                <c:pt idx="20">
                  <c:v>Bulgaria</c:v>
                </c:pt>
                <c:pt idx="21">
                  <c:v>Lithuania</c:v>
                </c:pt>
                <c:pt idx="22">
                  <c:v>Belgium</c:v>
                </c:pt>
                <c:pt idx="23">
                  <c:v>Korea</c:v>
                </c:pt>
                <c:pt idx="24">
                  <c:v>Ireland</c:v>
                </c:pt>
                <c:pt idx="25">
                  <c:v>Australia (2010)</c:v>
                </c:pt>
                <c:pt idx="26">
                  <c:v>Czech Republic</c:v>
                </c:pt>
                <c:pt idx="27">
                  <c:v>Poland</c:v>
                </c:pt>
                <c:pt idx="28">
                  <c:v>Mexico (2008)</c:v>
                </c:pt>
                <c:pt idx="29">
                  <c:v>Hungary</c:v>
                </c:pt>
                <c:pt idx="30">
                  <c:v>Spain</c:v>
                </c:pt>
                <c:pt idx="31">
                  <c:v>Portugal</c:v>
                </c:pt>
                <c:pt idx="32">
                  <c:v>Slovenia</c:v>
                </c:pt>
                <c:pt idx="33">
                  <c:v>Turkey</c:v>
                </c:pt>
                <c:pt idx="34">
                  <c:v>Italy</c:v>
                </c:pt>
                <c:pt idx="35">
                  <c:v>Greece (2009)</c:v>
                </c:pt>
              </c:strCache>
            </c:strRef>
          </c:cat>
          <c:val>
            <c:numRef>
              <c:f>'[Figure 2.3 share of employment by enterprise size class.xls]EAAG_Graph'!$F$30:$F$65</c:f>
              <c:numCache>
                <c:formatCode>\О\с\н\о\в\н\о\й</c:formatCode>
                <c:ptCount val="36"/>
                <c:pt idx="0">
                  <c:v>70.699147318948079</c:v>
                </c:pt>
                <c:pt idx="1">
                  <c:v>49.774491294660294</c:v>
                </c:pt>
                <c:pt idx="2">
                  <c:v>33.0305043290385</c:v>
                </c:pt>
                <c:pt idx="3">
                  <c:v>36.5107347308222</c:v>
                </c:pt>
                <c:pt idx="4">
                  <c:v>43.151944437888908</c:v>
                </c:pt>
                <c:pt idx="5">
                  <c:v>31.705586222334183</c:v>
                </c:pt>
                <c:pt idx="6">
                  <c:v>21.530251341995598</c:v>
                </c:pt>
                <c:pt idx="7">
                  <c:v>33.622143285732598</c:v>
                </c:pt>
                <c:pt idx="8">
                  <c:v>31.795141111867487</c:v>
                </c:pt>
                <c:pt idx="9">
                  <c:v>33.608627787532001</c:v>
                </c:pt>
                <c:pt idx="10">
                  <c:v>23.30554759268292</c:v>
                </c:pt>
                <c:pt idx="11">
                  <c:v>12.933312568505364</c:v>
                </c:pt>
                <c:pt idx="12">
                  <c:v>31.378360621426697</c:v>
                </c:pt>
                <c:pt idx="13">
                  <c:v>35.793245641965612</c:v>
                </c:pt>
                <c:pt idx="14">
                  <c:v>25.979384074616902</c:v>
                </c:pt>
                <c:pt idx="15">
                  <c:v>15.824454534132004</c:v>
                </c:pt>
                <c:pt idx="16">
                  <c:v>29.470667802813889</c:v>
                </c:pt>
                <c:pt idx="17">
                  <c:v>26.197449003525676</c:v>
                </c:pt>
                <c:pt idx="18">
                  <c:v>33.08339599277118</c:v>
                </c:pt>
                <c:pt idx="19">
                  <c:v>29.296835470281501</c:v>
                </c:pt>
                <c:pt idx="20">
                  <c:v>21.439094030384602</c:v>
                </c:pt>
                <c:pt idx="21">
                  <c:v>17.73425112891551</c:v>
                </c:pt>
                <c:pt idx="22">
                  <c:v>26.753594042527006</c:v>
                </c:pt>
                <c:pt idx="23">
                  <c:v>15.747081793082398</c:v>
                </c:pt>
                <c:pt idx="24">
                  <c:v>16.968954277725725</c:v>
                </c:pt>
                <c:pt idx="25">
                  <c:v>35.714488766189952</c:v>
                </c:pt>
                <c:pt idx="26">
                  <c:v>18.059741058084491</c:v>
                </c:pt>
                <c:pt idx="27">
                  <c:v>26.558433388307069</c:v>
                </c:pt>
                <c:pt idx="28">
                  <c:v>26.001836068357537</c:v>
                </c:pt>
                <c:pt idx="29">
                  <c:v>25.133732606716286</c:v>
                </c:pt>
                <c:pt idx="30">
                  <c:v>23.433312844017689</c:v>
                </c:pt>
                <c:pt idx="31">
                  <c:v>15.3007732902733</c:v>
                </c:pt>
                <c:pt idx="32">
                  <c:v>16.577336294339776</c:v>
                </c:pt>
                <c:pt idx="33">
                  <c:v>22.683891920877645</c:v>
                </c:pt>
                <c:pt idx="34">
                  <c:v>18.095063693299799</c:v>
                </c:pt>
                <c:pt idx="35">
                  <c:v>7.9698110840232594</c:v>
                </c:pt>
              </c:numCache>
            </c:numRef>
          </c:val>
        </c:ser>
        <c:overlap val="100"/>
        <c:axId val="86592896"/>
        <c:axId val="86602880"/>
      </c:barChart>
      <c:catAx>
        <c:axId val="86592896"/>
        <c:scaling>
          <c:orientation val="minMax"/>
        </c:scaling>
        <c:axPos val="b"/>
        <c:majorGridlines/>
        <c:numFmt formatCode="\О\с\н\о\в\н\о\й" sourceLinked="1"/>
        <c:majorTickMark val="in"/>
        <c:tickLblPos val="low"/>
        <c:spPr>
          <a:extLst/>
        </c:spPr>
        <c:txPr>
          <a:bodyPr rot="-2700000" vert="horz"/>
          <a:lstStyle/>
          <a:p>
            <a:pPr>
              <a:defRPr/>
            </a:pPr>
            <a:endParaRPr lang="ru-RU"/>
          </a:p>
        </c:txPr>
        <c:crossAx val="86602880"/>
        <c:crosses val="autoZero"/>
        <c:auto val="1"/>
        <c:lblAlgn val="ctr"/>
        <c:lblOffset val="0"/>
        <c:tickLblSkip val="1"/>
      </c:catAx>
      <c:valAx>
        <c:axId val="86602880"/>
        <c:scaling>
          <c:orientation val="minMax"/>
          <c:max val="100"/>
          <c:min val="0"/>
        </c:scaling>
        <c:axPos val="l"/>
        <c:majorGridlines/>
        <c:numFmt formatCode="\О\с\н\о\в\н\о\й" sourceLinked="0"/>
        <c:majorTickMark val="in"/>
        <c:tickLblPos val="nextTo"/>
        <c:spPr>
          <a:extLst/>
        </c:spPr>
        <c:txPr>
          <a:bodyPr rot="-60000000" vert="horz"/>
          <a:lstStyle/>
          <a:p>
            <a:pPr>
              <a:defRPr/>
            </a:pPr>
            <a:endParaRPr lang="ru-RU"/>
          </a:p>
        </c:txPr>
        <c:crossAx val="86592896"/>
        <c:crosses val="autoZero"/>
        <c:crossBetween val="between"/>
      </c:valAx>
    </c:plotArea>
    <c:legend>
      <c:legendPos val="b"/>
    </c:legend>
    <c:plotVisOnly val="1"/>
    <c:dispBlanksAs val="gap"/>
    <c:showDLblsOverMax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
  <c:chart>
    <c:plotArea>
      <c:layout/>
      <c:barChart>
        <c:barDir val="col"/>
        <c:grouping val="clustered"/>
        <c:ser>
          <c:idx val="1"/>
          <c:order val="1"/>
          <c:tx>
            <c:strRef>
              <c:f>Sheet2!$C$2</c:f>
              <c:strCache>
                <c:ptCount val="1"/>
                <c:pt idx="0">
                  <c:v>2012</c:v>
                </c:pt>
              </c:strCache>
            </c:strRef>
          </c:tx>
          <c:dPt>
            <c:idx val="3"/>
            <c:spPr>
              <a:solidFill>
                <a:schemeClr val="accent1">
                  <a:lumMod val="75000"/>
                </a:schemeClr>
              </a:solidFill>
            </c:spPr>
          </c:dPt>
          <c:cat>
            <c:strRef>
              <c:f>Sheet2!$A$3:$A$39</c:f>
              <c:strCache>
                <c:ptCount val="37"/>
                <c:pt idx="0">
                  <c:v>Luxembourg</c:v>
                </c:pt>
                <c:pt idx="1">
                  <c:v>United States</c:v>
                </c:pt>
                <c:pt idx="2">
                  <c:v>Norway</c:v>
                </c:pt>
                <c:pt idx="3">
                  <c:v>Russian Federation</c:v>
                </c:pt>
                <c:pt idx="4">
                  <c:v>Estonia</c:v>
                </c:pt>
                <c:pt idx="5">
                  <c:v>Canada</c:v>
                </c:pt>
                <c:pt idx="6">
                  <c:v>Denmark</c:v>
                </c:pt>
                <c:pt idx="7">
                  <c:v>France</c:v>
                </c:pt>
                <c:pt idx="8">
                  <c:v>Switzerland</c:v>
                </c:pt>
                <c:pt idx="9">
                  <c:v>Sweden</c:v>
                </c:pt>
                <c:pt idx="10">
                  <c:v>Australia</c:v>
                </c:pt>
                <c:pt idx="11">
                  <c:v>Germany</c:v>
                </c:pt>
                <c:pt idx="12">
                  <c:v>Hungary</c:v>
                </c:pt>
                <c:pt idx="13">
                  <c:v>Japan</c:v>
                </c:pt>
                <c:pt idx="14">
                  <c:v>Iceland</c:v>
                </c:pt>
                <c:pt idx="15">
                  <c:v>Israel</c:v>
                </c:pt>
                <c:pt idx="16">
                  <c:v>Austria</c:v>
                </c:pt>
                <c:pt idx="17">
                  <c:v>Finland</c:v>
                </c:pt>
                <c:pt idx="18">
                  <c:v>Belgium</c:v>
                </c:pt>
                <c:pt idx="19">
                  <c:v>United Kingdom</c:v>
                </c:pt>
                <c:pt idx="20">
                  <c:v>Netherlands</c:v>
                </c:pt>
                <c:pt idx="21">
                  <c:v>Slovak Republic</c:v>
                </c:pt>
                <c:pt idx="22">
                  <c:v>Slovenia</c:v>
                </c:pt>
                <c:pt idx="23">
                  <c:v>New Zealand</c:v>
                </c:pt>
                <c:pt idx="24">
                  <c:v>Ireland</c:v>
                </c:pt>
                <c:pt idx="25">
                  <c:v>Spain</c:v>
                </c:pt>
                <c:pt idx="26">
                  <c:v>Czech Republic</c:v>
                </c:pt>
                <c:pt idx="27">
                  <c:v>Portugal</c:v>
                </c:pt>
                <c:pt idx="28">
                  <c:v>Poland</c:v>
                </c:pt>
                <c:pt idx="29">
                  <c:v>Italy</c:v>
                </c:pt>
                <c:pt idx="30">
                  <c:v>Chile</c:v>
                </c:pt>
                <c:pt idx="31">
                  <c:v>Brazil</c:v>
                </c:pt>
                <c:pt idx="32">
                  <c:v>Korea</c:v>
                </c:pt>
                <c:pt idx="33">
                  <c:v>Mexico</c:v>
                </c:pt>
                <c:pt idx="34">
                  <c:v>Greece</c:v>
                </c:pt>
                <c:pt idx="35">
                  <c:v>Turkey</c:v>
                </c:pt>
                <c:pt idx="36">
                  <c:v>Colombia</c:v>
                </c:pt>
              </c:strCache>
            </c:strRef>
          </c:cat>
          <c:val>
            <c:numRef>
              <c:f>Sheet2!$C$3:$C$39</c:f>
              <c:numCache>
                <c:formatCode>\О\с\н\о\в\н\о\й</c:formatCode>
                <c:ptCount val="37"/>
                <c:pt idx="0">
                  <c:v>5.6</c:v>
                </c:pt>
                <c:pt idx="1">
                  <c:v>6.8</c:v>
                </c:pt>
                <c:pt idx="2">
                  <c:v>6.9</c:v>
                </c:pt>
                <c:pt idx="3">
                  <c:v>6.9</c:v>
                </c:pt>
                <c:pt idx="4">
                  <c:v>8.6</c:v>
                </c:pt>
                <c:pt idx="5">
                  <c:v>8.9</c:v>
                </c:pt>
                <c:pt idx="6">
                  <c:v>9.1</c:v>
                </c:pt>
                <c:pt idx="7">
                  <c:v>9.5</c:v>
                </c:pt>
                <c:pt idx="8">
                  <c:v>10.4</c:v>
                </c:pt>
                <c:pt idx="9">
                  <c:v>10.5</c:v>
                </c:pt>
                <c:pt idx="10">
                  <c:v>10.6</c:v>
                </c:pt>
                <c:pt idx="11">
                  <c:v>11.6</c:v>
                </c:pt>
                <c:pt idx="12">
                  <c:v>11.7</c:v>
                </c:pt>
                <c:pt idx="13">
                  <c:v>11.8</c:v>
                </c:pt>
                <c:pt idx="14">
                  <c:v>12.7</c:v>
                </c:pt>
                <c:pt idx="15">
                  <c:v>12.7</c:v>
                </c:pt>
                <c:pt idx="16">
                  <c:v>13.3</c:v>
                </c:pt>
                <c:pt idx="17">
                  <c:v>13.6</c:v>
                </c:pt>
                <c:pt idx="18">
                  <c:v>14.3</c:v>
                </c:pt>
                <c:pt idx="19">
                  <c:v>14.6</c:v>
                </c:pt>
                <c:pt idx="20">
                  <c:v>15.3</c:v>
                </c:pt>
                <c:pt idx="21">
                  <c:v>15.5</c:v>
                </c:pt>
                <c:pt idx="22">
                  <c:v>16.2</c:v>
                </c:pt>
                <c:pt idx="23">
                  <c:v>16.399999999999999</c:v>
                </c:pt>
                <c:pt idx="24">
                  <c:v>16.7</c:v>
                </c:pt>
                <c:pt idx="25">
                  <c:v>17.399999999999999</c:v>
                </c:pt>
                <c:pt idx="26">
                  <c:v>18.5</c:v>
                </c:pt>
                <c:pt idx="27">
                  <c:v>21.9</c:v>
                </c:pt>
                <c:pt idx="28">
                  <c:v>22.4</c:v>
                </c:pt>
                <c:pt idx="29">
                  <c:v>25.1</c:v>
                </c:pt>
                <c:pt idx="30">
                  <c:v>26.6</c:v>
                </c:pt>
                <c:pt idx="31">
                  <c:v>27.4</c:v>
                </c:pt>
                <c:pt idx="32">
                  <c:v>28.2</c:v>
                </c:pt>
                <c:pt idx="33">
                  <c:v>33.700000000000003</c:v>
                </c:pt>
                <c:pt idx="34">
                  <c:v>36.800000000000004</c:v>
                </c:pt>
                <c:pt idx="35">
                  <c:v>37.1</c:v>
                </c:pt>
                <c:pt idx="36">
                  <c:v>53.5</c:v>
                </c:pt>
              </c:numCache>
            </c:numRef>
          </c:val>
        </c:ser>
        <c:axId val="86631168"/>
        <c:axId val="86632704"/>
      </c:barChart>
      <c:lineChart>
        <c:grouping val="standard"/>
        <c:ser>
          <c:idx val="0"/>
          <c:order val="0"/>
          <c:tx>
            <c:strRef>
              <c:f>Sheet2!$B$2</c:f>
              <c:strCache>
                <c:ptCount val="1"/>
                <c:pt idx="0">
                  <c:v>2000</c:v>
                </c:pt>
              </c:strCache>
            </c:strRef>
          </c:tx>
          <c:spPr>
            <a:ln>
              <a:noFill/>
            </a:ln>
          </c:spPr>
          <c:cat>
            <c:strRef>
              <c:f>Sheet2!$A$3:$A$39</c:f>
              <c:strCache>
                <c:ptCount val="37"/>
                <c:pt idx="0">
                  <c:v>Luxembourg</c:v>
                </c:pt>
                <c:pt idx="1">
                  <c:v>United States</c:v>
                </c:pt>
                <c:pt idx="2">
                  <c:v>Norway</c:v>
                </c:pt>
                <c:pt idx="3">
                  <c:v>Russian Federation</c:v>
                </c:pt>
                <c:pt idx="4">
                  <c:v>Estonia</c:v>
                </c:pt>
                <c:pt idx="5">
                  <c:v>Canada</c:v>
                </c:pt>
                <c:pt idx="6">
                  <c:v>Denmark</c:v>
                </c:pt>
                <c:pt idx="7">
                  <c:v>France</c:v>
                </c:pt>
                <c:pt idx="8">
                  <c:v>Switzerland</c:v>
                </c:pt>
                <c:pt idx="9">
                  <c:v>Sweden</c:v>
                </c:pt>
                <c:pt idx="10">
                  <c:v>Australia</c:v>
                </c:pt>
                <c:pt idx="11">
                  <c:v>Germany</c:v>
                </c:pt>
                <c:pt idx="12">
                  <c:v>Hungary</c:v>
                </c:pt>
                <c:pt idx="13">
                  <c:v>Japan</c:v>
                </c:pt>
                <c:pt idx="14">
                  <c:v>Iceland</c:v>
                </c:pt>
                <c:pt idx="15">
                  <c:v>Israel</c:v>
                </c:pt>
                <c:pt idx="16">
                  <c:v>Austria</c:v>
                </c:pt>
                <c:pt idx="17">
                  <c:v>Finland</c:v>
                </c:pt>
                <c:pt idx="18">
                  <c:v>Belgium</c:v>
                </c:pt>
                <c:pt idx="19">
                  <c:v>United Kingdom</c:v>
                </c:pt>
                <c:pt idx="20">
                  <c:v>Netherlands</c:v>
                </c:pt>
                <c:pt idx="21">
                  <c:v>Slovak Republic</c:v>
                </c:pt>
                <c:pt idx="22">
                  <c:v>Slovenia</c:v>
                </c:pt>
                <c:pt idx="23">
                  <c:v>New Zealand</c:v>
                </c:pt>
                <c:pt idx="24">
                  <c:v>Ireland</c:v>
                </c:pt>
                <c:pt idx="25">
                  <c:v>Spain</c:v>
                </c:pt>
                <c:pt idx="26">
                  <c:v>Czech Republic</c:v>
                </c:pt>
                <c:pt idx="27">
                  <c:v>Portugal</c:v>
                </c:pt>
                <c:pt idx="28">
                  <c:v>Poland</c:v>
                </c:pt>
                <c:pt idx="29">
                  <c:v>Italy</c:v>
                </c:pt>
                <c:pt idx="30">
                  <c:v>Chile</c:v>
                </c:pt>
                <c:pt idx="31">
                  <c:v>Brazil</c:v>
                </c:pt>
                <c:pt idx="32">
                  <c:v>Korea</c:v>
                </c:pt>
                <c:pt idx="33">
                  <c:v>Mexico</c:v>
                </c:pt>
                <c:pt idx="34">
                  <c:v>Greece</c:v>
                </c:pt>
                <c:pt idx="35">
                  <c:v>Turkey</c:v>
                </c:pt>
                <c:pt idx="36">
                  <c:v>Colombia</c:v>
                </c:pt>
              </c:strCache>
            </c:strRef>
          </c:cat>
          <c:val>
            <c:numRef>
              <c:f>Sheet2!$B$3:$B$39</c:f>
              <c:numCache>
                <c:formatCode>\О\с\н\о\в\н\о\й</c:formatCode>
                <c:ptCount val="37"/>
                <c:pt idx="0">
                  <c:v>7.4</c:v>
                </c:pt>
                <c:pt idx="1">
                  <c:v>7.4</c:v>
                </c:pt>
                <c:pt idx="2">
                  <c:v>7.4</c:v>
                </c:pt>
                <c:pt idx="3">
                  <c:v>10.1</c:v>
                </c:pt>
                <c:pt idx="4">
                  <c:v>9.1</c:v>
                </c:pt>
                <c:pt idx="5">
                  <c:v>10.6</c:v>
                </c:pt>
                <c:pt idx="6">
                  <c:v>9.1</c:v>
                </c:pt>
                <c:pt idx="7">
                  <c:v>9.3000000000000007</c:v>
                </c:pt>
                <c:pt idx="8">
                  <c:v>13.2</c:v>
                </c:pt>
                <c:pt idx="9">
                  <c:v>10.3</c:v>
                </c:pt>
                <c:pt idx="10">
                  <c:v>13.5</c:v>
                </c:pt>
                <c:pt idx="11">
                  <c:v>11</c:v>
                </c:pt>
                <c:pt idx="12">
                  <c:v>15.2</c:v>
                </c:pt>
                <c:pt idx="13">
                  <c:v>16.600000000000001</c:v>
                </c:pt>
                <c:pt idx="14">
                  <c:v>18</c:v>
                </c:pt>
                <c:pt idx="15">
                  <c:v>14.2</c:v>
                </c:pt>
                <c:pt idx="16">
                  <c:v>13.1</c:v>
                </c:pt>
                <c:pt idx="17">
                  <c:v>13.7</c:v>
                </c:pt>
                <c:pt idx="18">
                  <c:v>15.8</c:v>
                </c:pt>
                <c:pt idx="19">
                  <c:v>12.8</c:v>
                </c:pt>
                <c:pt idx="20">
                  <c:v>11.2</c:v>
                </c:pt>
                <c:pt idx="21">
                  <c:v>8</c:v>
                </c:pt>
                <c:pt idx="22">
                  <c:v>16.100000000000001</c:v>
                </c:pt>
                <c:pt idx="23">
                  <c:v>20.6</c:v>
                </c:pt>
                <c:pt idx="24">
                  <c:v>18.8</c:v>
                </c:pt>
                <c:pt idx="25">
                  <c:v>20.2</c:v>
                </c:pt>
                <c:pt idx="26">
                  <c:v>15.2</c:v>
                </c:pt>
                <c:pt idx="27">
                  <c:v>26</c:v>
                </c:pt>
                <c:pt idx="28">
                  <c:v>27.4</c:v>
                </c:pt>
                <c:pt idx="29">
                  <c:v>28.5</c:v>
                </c:pt>
                <c:pt idx="30">
                  <c:v>29.8</c:v>
                </c:pt>
                <c:pt idx="31">
                  <c:v>33.300000000000004</c:v>
                </c:pt>
                <c:pt idx="32">
                  <c:v>36.800000000000004</c:v>
                </c:pt>
                <c:pt idx="33">
                  <c:v>36</c:v>
                </c:pt>
                <c:pt idx="34">
                  <c:v>42</c:v>
                </c:pt>
                <c:pt idx="35">
                  <c:v>51.4</c:v>
                </c:pt>
                <c:pt idx="36">
                  <c:v>51.8</c:v>
                </c:pt>
              </c:numCache>
            </c:numRef>
          </c:val>
        </c:ser>
        <c:marker val="1"/>
        <c:axId val="86631168"/>
        <c:axId val="86632704"/>
      </c:lineChart>
      <c:catAx>
        <c:axId val="86631168"/>
        <c:scaling>
          <c:orientation val="minMax"/>
        </c:scaling>
        <c:axPos val="b"/>
        <c:tickLblPos val="nextTo"/>
        <c:crossAx val="86632704"/>
        <c:crosses val="autoZero"/>
        <c:auto val="1"/>
        <c:lblAlgn val="ctr"/>
        <c:lblOffset val="100"/>
        <c:tickLblSkip val="1"/>
      </c:catAx>
      <c:valAx>
        <c:axId val="86632704"/>
        <c:scaling>
          <c:orientation val="minMax"/>
        </c:scaling>
        <c:axPos val="l"/>
        <c:majorGridlines/>
        <c:numFmt formatCode="\О\с\н\о\в\н\о\й" sourceLinked="1"/>
        <c:tickLblPos val="nextTo"/>
        <c:crossAx val="8663116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dPt>
            <c:idx val="26"/>
            <c:spPr>
              <a:solidFill>
                <a:schemeClr val="accent1">
                  <a:lumMod val="50000"/>
                </a:schemeClr>
              </a:solidFill>
            </c:spPr>
          </c:dPt>
          <c:cat>
            <c:strRef>
              <c:f>Sheet1!$A$1:$A$27</c:f>
              <c:strCache>
                <c:ptCount val="27"/>
                <c:pt idx="0">
                  <c:v>USA</c:v>
                </c:pt>
                <c:pt idx="1">
                  <c:v>JPN</c:v>
                </c:pt>
                <c:pt idx="2">
                  <c:v>GBR</c:v>
                </c:pt>
                <c:pt idx="3">
                  <c:v>NLD</c:v>
                </c:pt>
                <c:pt idx="4">
                  <c:v>AUS</c:v>
                </c:pt>
                <c:pt idx="5">
                  <c:v>FRA</c:v>
                </c:pt>
                <c:pt idx="6">
                  <c:v>CAN</c:v>
                </c:pt>
                <c:pt idx="7">
                  <c:v>DEU</c:v>
                </c:pt>
                <c:pt idx="8">
                  <c:v>CZE</c:v>
                </c:pt>
                <c:pt idx="9">
                  <c:v>FIN</c:v>
                </c:pt>
                <c:pt idx="10">
                  <c:v>CHL</c:v>
                </c:pt>
                <c:pt idx="11">
                  <c:v>ISR</c:v>
                </c:pt>
                <c:pt idx="12">
                  <c:v>PRT</c:v>
                </c:pt>
                <c:pt idx="13">
                  <c:v>ARG</c:v>
                </c:pt>
                <c:pt idx="14">
                  <c:v>HUN</c:v>
                </c:pt>
                <c:pt idx="15">
                  <c:v>SVN</c:v>
                </c:pt>
                <c:pt idx="16">
                  <c:v>ZAF</c:v>
                </c:pt>
                <c:pt idx="17">
                  <c:v>KOR</c:v>
                </c:pt>
                <c:pt idx="18">
                  <c:v>POL</c:v>
                </c:pt>
                <c:pt idx="19">
                  <c:v>GRC</c:v>
                </c:pt>
                <c:pt idx="20">
                  <c:v>ITA</c:v>
                </c:pt>
                <c:pt idx="21">
                  <c:v>MEX</c:v>
                </c:pt>
                <c:pt idx="22">
                  <c:v>TUR</c:v>
                </c:pt>
                <c:pt idx="23">
                  <c:v>EST</c:v>
                </c:pt>
                <c:pt idx="24">
                  <c:v>COL</c:v>
                </c:pt>
                <c:pt idx="25">
                  <c:v>BRA</c:v>
                </c:pt>
                <c:pt idx="26">
                  <c:v>RUS</c:v>
                </c:pt>
              </c:strCache>
            </c:strRef>
          </c:cat>
          <c:val>
            <c:numRef>
              <c:f>Sheet1!$B$1:$B$27</c:f>
              <c:numCache>
                <c:formatCode>\О\с\н\о\в\н\о\й</c:formatCode>
                <c:ptCount val="27"/>
                <c:pt idx="0">
                  <c:v>8.4</c:v>
                </c:pt>
                <c:pt idx="1">
                  <c:v>10.3</c:v>
                </c:pt>
                <c:pt idx="2">
                  <c:v>12.2</c:v>
                </c:pt>
                <c:pt idx="3">
                  <c:v>13</c:v>
                </c:pt>
                <c:pt idx="4">
                  <c:v>13.5</c:v>
                </c:pt>
                <c:pt idx="5">
                  <c:v>14.7</c:v>
                </c:pt>
                <c:pt idx="6">
                  <c:v>15.3</c:v>
                </c:pt>
                <c:pt idx="7">
                  <c:v>15.3</c:v>
                </c:pt>
                <c:pt idx="8">
                  <c:v>17</c:v>
                </c:pt>
                <c:pt idx="9">
                  <c:v>17</c:v>
                </c:pt>
                <c:pt idx="10">
                  <c:v>18.5</c:v>
                </c:pt>
                <c:pt idx="11">
                  <c:v>20.7</c:v>
                </c:pt>
                <c:pt idx="12">
                  <c:v>23</c:v>
                </c:pt>
                <c:pt idx="13">
                  <c:v>23</c:v>
                </c:pt>
                <c:pt idx="14">
                  <c:v>23.7</c:v>
                </c:pt>
                <c:pt idx="15">
                  <c:v>24.7</c:v>
                </c:pt>
                <c:pt idx="16">
                  <c:v>25.2</c:v>
                </c:pt>
                <c:pt idx="17">
                  <c:v>25.6</c:v>
                </c:pt>
                <c:pt idx="18">
                  <c:v>26</c:v>
                </c:pt>
                <c:pt idx="19">
                  <c:v>26.5</c:v>
                </c:pt>
                <c:pt idx="20">
                  <c:v>26.8</c:v>
                </c:pt>
                <c:pt idx="21">
                  <c:v>28.8</c:v>
                </c:pt>
                <c:pt idx="22">
                  <c:v>29.1</c:v>
                </c:pt>
                <c:pt idx="23">
                  <c:v>29.5</c:v>
                </c:pt>
                <c:pt idx="24">
                  <c:v>33.5</c:v>
                </c:pt>
                <c:pt idx="25">
                  <c:v>36.6</c:v>
                </c:pt>
                <c:pt idx="26">
                  <c:v>40.6</c:v>
                </c:pt>
              </c:numCache>
            </c:numRef>
          </c:val>
        </c:ser>
        <c:axId val="86707200"/>
        <c:axId val="86967040"/>
      </c:barChart>
      <c:catAx>
        <c:axId val="86707200"/>
        <c:scaling>
          <c:orientation val="minMax"/>
        </c:scaling>
        <c:axPos val="b"/>
        <c:tickLblPos val="nextTo"/>
        <c:crossAx val="86967040"/>
        <c:crosses val="autoZero"/>
        <c:auto val="1"/>
        <c:lblAlgn val="ctr"/>
        <c:lblOffset val="100"/>
        <c:tickLblSkip val="1"/>
      </c:catAx>
      <c:valAx>
        <c:axId val="86967040"/>
        <c:scaling>
          <c:orientation val="minMax"/>
        </c:scaling>
        <c:axPos val="l"/>
        <c:majorGridlines/>
        <c:numFmt formatCode="\О\с\н\о\в\н\о\й" sourceLinked="1"/>
        <c:tickLblPos val="nextTo"/>
        <c:crossAx val="8670720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'3.16'!$A$4</c:f>
              <c:strCache>
                <c:ptCount val="1"/>
                <c:pt idx="0">
                  <c:v>Incidence of Graft Index</c:v>
                </c:pt>
              </c:strCache>
            </c:strRef>
          </c:tx>
          <c:dPt>
            <c:idx val="0"/>
            <c:spPr>
              <a:solidFill>
                <a:schemeClr val="tx2"/>
              </a:solidFill>
            </c:spPr>
          </c:dPt>
          <c:cat>
            <c:strRef>
              <c:f>'3.16'!$B$3:$D$3</c:f>
              <c:strCache>
                <c:ptCount val="3"/>
                <c:pt idx="0">
                  <c:v>Russian Federation</c:v>
                </c:pt>
                <c:pt idx="1">
                  <c:v>ECA</c:v>
                </c:pt>
                <c:pt idx="2">
                  <c:v>Upper Middle Income</c:v>
                </c:pt>
              </c:strCache>
            </c:strRef>
          </c:cat>
          <c:val>
            <c:numRef>
              <c:f>'3.16'!$B$4:$D$4</c:f>
              <c:numCache>
                <c:formatCode>\О\с\н\о\в\н\о\й</c:formatCode>
                <c:ptCount val="3"/>
                <c:pt idx="0">
                  <c:v>16.100000000000001</c:v>
                </c:pt>
                <c:pt idx="1">
                  <c:v>13.3</c:v>
                </c:pt>
                <c:pt idx="2">
                  <c:v>7.5</c:v>
                </c:pt>
              </c:numCache>
            </c:numRef>
          </c:val>
        </c:ser>
        <c:axId val="86990848"/>
        <c:axId val="86992384"/>
      </c:barChart>
      <c:catAx>
        <c:axId val="86990848"/>
        <c:scaling>
          <c:orientation val="minMax"/>
        </c:scaling>
        <c:axPos val="l"/>
        <c:tickLblPos val="nextTo"/>
        <c:crossAx val="86992384"/>
        <c:crosses val="autoZero"/>
        <c:auto val="1"/>
        <c:lblAlgn val="ctr"/>
        <c:lblOffset val="100"/>
      </c:catAx>
      <c:valAx>
        <c:axId val="86992384"/>
        <c:scaling>
          <c:orientation val="minMax"/>
        </c:scaling>
        <c:axPos val="b"/>
        <c:majorGridlines/>
        <c:numFmt formatCode="\О\с\н\о\в\н\о\й" sourceLinked="1"/>
        <c:tickLblPos val="nextTo"/>
        <c:crossAx val="8699084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Sheet1!$C$5</c:f>
              <c:strCache>
                <c:ptCount val="1"/>
                <c:pt idx="0">
                  <c:v>Russian Federation</c:v>
                </c:pt>
              </c:strCache>
            </c:strRef>
          </c:tx>
          <c:spPr>
            <a:ln>
              <a:solidFill>
                <a:schemeClr val="tx2"/>
              </a:solidFill>
            </a:ln>
          </c:spPr>
          <c:marker>
            <c:spPr>
              <a:solidFill>
                <a:schemeClr val="tx2"/>
              </a:solidFill>
            </c:spPr>
          </c:marker>
          <c:cat>
            <c:numRef>
              <c:f>Sheet1!$B$6:$B$18</c:f>
              <c:numCache>
                <c:formatCode>\О\с\н\о\в\н\о\й</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Sheet1!$C$6:$C$18</c:f>
              <c:numCache>
                <c:formatCode>\О\с\н\о\в\н\о\й</c:formatCode>
                <c:ptCount val="13"/>
                <c:pt idx="0">
                  <c:v>1.05</c:v>
                </c:pt>
                <c:pt idx="1">
                  <c:v>1.1800000000000088</c:v>
                </c:pt>
                <c:pt idx="2">
                  <c:v>1.25</c:v>
                </c:pt>
                <c:pt idx="3">
                  <c:v>1.29</c:v>
                </c:pt>
                <c:pt idx="4">
                  <c:v>1.1499999999999901</c:v>
                </c:pt>
                <c:pt idx="5">
                  <c:v>1.07</c:v>
                </c:pt>
                <c:pt idx="6">
                  <c:v>1.07</c:v>
                </c:pt>
                <c:pt idx="7">
                  <c:v>1.1200000000000001</c:v>
                </c:pt>
                <c:pt idx="8">
                  <c:v>1.04</c:v>
                </c:pt>
                <c:pt idx="9">
                  <c:v>1.25</c:v>
                </c:pt>
                <c:pt idx="10">
                  <c:v>1.1299999999999899</c:v>
                </c:pt>
                <c:pt idx="11">
                  <c:v>1.0900000000000001</c:v>
                </c:pt>
                <c:pt idx="12">
                  <c:v>1.1200000000000001</c:v>
                </c:pt>
              </c:numCache>
            </c:numRef>
          </c:val>
        </c:ser>
        <c:ser>
          <c:idx val="1"/>
          <c:order val="1"/>
          <c:tx>
            <c:strRef>
              <c:f>Sheet1!$D$5</c:f>
              <c:strCache>
                <c:ptCount val="1"/>
                <c:pt idx="0">
                  <c:v>OECD average</c:v>
                </c:pt>
              </c:strCache>
            </c:strRef>
          </c:tx>
          <c:spPr>
            <a:ln>
              <a:solidFill>
                <a:schemeClr val="accent1"/>
              </a:solidFill>
            </a:ln>
          </c:spPr>
          <c:marker>
            <c:spPr>
              <a:solidFill>
                <a:schemeClr val="accent1"/>
              </a:solidFill>
              <a:ln>
                <a:solidFill>
                  <a:schemeClr val="accent1"/>
                </a:solidFill>
              </a:ln>
            </c:spPr>
          </c:marker>
          <c:cat>
            <c:numRef>
              <c:f>Sheet1!$B$6:$B$18</c:f>
              <c:numCache>
                <c:formatCode>\О\с\н\о\в\н\о\й</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Sheet1!$D$6:$D$18</c:f>
              <c:numCache>
                <c:formatCode>\О\с\н\о\в\н\о\й</c:formatCode>
                <c:ptCount val="13"/>
                <c:pt idx="0">
                  <c:v>2.17</c:v>
                </c:pt>
                <c:pt idx="1">
                  <c:v>2.21</c:v>
                </c:pt>
                <c:pt idx="2">
                  <c:v>2.1800000000000002</c:v>
                </c:pt>
                <c:pt idx="3">
                  <c:v>2.19</c:v>
                </c:pt>
                <c:pt idx="4">
                  <c:v>2.16</c:v>
                </c:pt>
                <c:pt idx="5">
                  <c:v>2.19</c:v>
                </c:pt>
                <c:pt idx="6">
                  <c:v>2.2200000000000002</c:v>
                </c:pt>
                <c:pt idx="7">
                  <c:v>2.25</c:v>
                </c:pt>
                <c:pt idx="8">
                  <c:v>2.3299999999999987</c:v>
                </c:pt>
                <c:pt idx="9">
                  <c:v>2.3699999999999997</c:v>
                </c:pt>
                <c:pt idx="10">
                  <c:v>2.34</c:v>
                </c:pt>
                <c:pt idx="11">
                  <c:v>2.3699999999999997</c:v>
                </c:pt>
                <c:pt idx="12">
                  <c:v>2.4</c:v>
                </c:pt>
              </c:numCache>
            </c:numRef>
          </c:val>
        </c:ser>
        <c:marker val="1"/>
        <c:axId val="87025536"/>
        <c:axId val="87027072"/>
      </c:lineChart>
      <c:catAx>
        <c:axId val="87025536"/>
        <c:scaling>
          <c:orientation val="minMax"/>
        </c:scaling>
        <c:axPos val="b"/>
        <c:numFmt formatCode="\О\с\н\о\в\н\о\й" sourceLinked="1"/>
        <c:tickLblPos val="nextTo"/>
        <c:crossAx val="87027072"/>
        <c:crosses val="autoZero"/>
        <c:auto val="1"/>
        <c:lblAlgn val="ctr"/>
        <c:lblOffset val="100"/>
      </c:catAx>
      <c:valAx>
        <c:axId val="87027072"/>
        <c:scaling>
          <c:orientation val="minMax"/>
        </c:scaling>
        <c:axPos val="l"/>
        <c:majorGridlines/>
        <c:numFmt formatCode="\О\с\н\о\в\н\о\й" sourceLinked="1"/>
        <c:tickLblPos val="nextTo"/>
        <c:crossAx val="87025536"/>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Sheet1!$C$24</c:f>
              <c:strCache>
                <c:ptCount val="1"/>
                <c:pt idx="0">
                  <c:v>Russian Federation</c:v>
                </c:pt>
              </c:strCache>
            </c:strRef>
          </c:tx>
          <c:spPr>
            <a:ln>
              <a:solidFill>
                <a:schemeClr val="tx2"/>
              </a:solidFill>
            </a:ln>
          </c:spPr>
          <c:marker>
            <c:spPr>
              <a:solidFill>
                <a:schemeClr val="tx2"/>
              </a:solidFill>
            </c:spPr>
          </c:marker>
          <c:cat>
            <c:numRef>
              <c:f>Sheet1!$B$25:$B$36</c:f>
              <c:numCache>
                <c:formatCode>\О\с\н\о\в\н\о\й</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Sheet1!$C$25:$C$36</c:f>
              <c:numCache>
                <c:formatCode>\О\с\н\о\в\н\о\й</c:formatCode>
                <c:ptCount val="12"/>
                <c:pt idx="0">
                  <c:v>32.870000000000005</c:v>
                </c:pt>
                <c:pt idx="1">
                  <c:v>33.630000000000003</c:v>
                </c:pt>
                <c:pt idx="2">
                  <c:v>33.11</c:v>
                </c:pt>
                <c:pt idx="3">
                  <c:v>30.759999999999987</c:v>
                </c:pt>
                <c:pt idx="4">
                  <c:v>31.39</c:v>
                </c:pt>
                <c:pt idx="5">
                  <c:v>30</c:v>
                </c:pt>
                <c:pt idx="6">
                  <c:v>28.810000000000031</c:v>
                </c:pt>
                <c:pt idx="7">
                  <c:v>29.45</c:v>
                </c:pt>
                <c:pt idx="8">
                  <c:v>28.69</c:v>
                </c:pt>
                <c:pt idx="9">
                  <c:v>26.59</c:v>
                </c:pt>
                <c:pt idx="10">
                  <c:v>25.51</c:v>
                </c:pt>
                <c:pt idx="11">
                  <c:v>27.68</c:v>
                </c:pt>
              </c:numCache>
            </c:numRef>
          </c:val>
        </c:ser>
        <c:ser>
          <c:idx val="1"/>
          <c:order val="1"/>
          <c:tx>
            <c:strRef>
              <c:f>Sheet1!$D$24</c:f>
              <c:strCache>
                <c:ptCount val="1"/>
                <c:pt idx="0">
                  <c:v>OECD average</c:v>
                </c:pt>
              </c:strCache>
            </c:strRef>
          </c:tx>
          <c:spPr>
            <a:ln>
              <a:solidFill>
                <a:schemeClr val="accent1"/>
              </a:solidFill>
            </a:ln>
          </c:spPr>
          <c:marker>
            <c:symbol val="square"/>
            <c:size val="7"/>
            <c:spPr>
              <a:solidFill>
                <a:schemeClr val="accent1"/>
              </a:solidFill>
              <a:ln>
                <a:solidFill>
                  <a:schemeClr val="accent1"/>
                </a:solidFill>
              </a:ln>
            </c:spPr>
          </c:marker>
          <c:cat>
            <c:numRef>
              <c:f>Sheet1!$B$25:$B$36</c:f>
              <c:numCache>
                <c:formatCode>\О\с\н\о\в\н\о\й</c:formatCod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numCache>
            </c:numRef>
          </c:cat>
          <c:val>
            <c:numRef>
              <c:f>Sheet1!$D$25:$D$36</c:f>
              <c:numCache>
                <c:formatCode>\О\с\н\о\в\н\о\й</c:formatCode>
                <c:ptCount val="12"/>
                <c:pt idx="0">
                  <c:v>64.06</c:v>
                </c:pt>
                <c:pt idx="1">
                  <c:v>63.4</c:v>
                </c:pt>
                <c:pt idx="2">
                  <c:v>62.06</c:v>
                </c:pt>
                <c:pt idx="3">
                  <c:v>61.58</c:v>
                </c:pt>
                <c:pt idx="4">
                  <c:v>61.55</c:v>
                </c:pt>
                <c:pt idx="5">
                  <c:v>62.230000000000011</c:v>
                </c:pt>
                <c:pt idx="6">
                  <c:v>63.190000000000012</c:v>
                </c:pt>
                <c:pt idx="7">
                  <c:v>63.45</c:v>
                </c:pt>
                <c:pt idx="8">
                  <c:v>62.67</c:v>
                </c:pt>
                <c:pt idx="9">
                  <c:v>60.190000000000012</c:v>
                </c:pt>
                <c:pt idx="10">
                  <c:v>58.71</c:v>
                </c:pt>
                <c:pt idx="11">
                  <c:v>59.9</c:v>
                </c:pt>
              </c:numCache>
            </c:numRef>
          </c:val>
        </c:ser>
        <c:marker val="1"/>
        <c:axId val="87064960"/>
        <c:axId val="87066496"/>
      </c:lineChart>
      <c:catAx>
        <c:axId val="87064960"/>
        <c:scaling>
          <c:orientation val="minMax"/>
        </c:scaling>
        <c:axPos val="b"/>
        <c:numFmt formatCode="\О\с\н\о\в\н\о\й" sourceLinked="1"/>
        <c:tickLblPos val="nextTo"/>
        <c:crossAx val="87066496"/>
        <c:crosses val="autoZero"/>
        <c:auto val="1"/>
        <c:lblAlgn val="ctr"/>
        <c:lblOffset val="100"/>
      </c:catAx>
      <c:valAx>
        <c:axId val="87066496"/>
        <c:scaling>
          <c:orientation val="minMax"/>
        </c:scaling>
        <c:axPos val="l"/>
        <c:majorGridlines/>
        <c:numFmt formatCode="\О\с\н\о\в\н\о\й" sourceLinked="1"/>
        <c:tickLblPos val="nextTo"/>
        <c:crossAx val="87064960"/>
        <c:crosses val="autoZero"/>
        <c:crossBetween val="between"/>
      </c:valAx>
    </c:plotArea>
    <c:legend>
      <c:legendPos val="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style val="3"/>
  <c:chart>
    <c:plotArea>
      <c:layout/>
      <c:barChart>
        <c:barDir val="bar"/>
        <c:grouping val="stacked"/>
        <c:ser>
          <c:idx val="0"/>
          <c:order val="0"/>
          <c:tx>
            <c:strRef>
              <c:f>'Relative to average'!$B$1</c:f>
              <c:strCache>
                <c:ptCount val="1"/>
                <c:pt idx="0">
                  <c:v>Access to finance</c:v>
                </c:pt>
              </c:strCache>
            </c:strRef>
          </c:tx>
          <c:spPr>
            <a:solidFill>
              <a:schemeClr val="accent1">
                <a:lumMod val="50000"/>
              </a:schemeClr>
            </a:solid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average'!$B$2:$B$38</c:f>
              <c:numCache>
                <c:formatCode>0</c:formatCode>
                <c:ptCount val="37"/>
                <c:pt idx="0">
                  <c:v>0</c:v>
                </c:pt>
                <c:pt idx="1">
                  <c:v>0</c:v>
                </c:pt>
                <c:pt idx="2">
                  <c:v>0</c:v>
                </c:pt>
                <c:pt idx="3">
                  <c:v>0</c:v>
                </c:pt>
                <c:pt idx="4">
                  <c:v>0</c:v>
                </c:pt>
                <c:pt idx="5">
                  <c:v>0</c:v>
                </c:pt>
                <c:pt idx="6">
                  <c:v>0</c:v>
                </c:pt>
                <c:pt idx="7">
                  <c:v>0</c:v>
                </c:pt>
                <c:pt idx="8">
                  <c:v>0</c:v>
                </c:pt>
                <c:pt idx="9">
                  <c:v>0</c:v>
                </c:pt>
                <c:pt idx="10">
                  <c:v>0</c:v>
                </c:pt>
                <c:pt idx="11">
                  <c:v>1</c:v>
                </c:pt>
                <c:pt idx="12">
                  <c:v>1</c:v>
                </c:pt>
                <c:pt idx="13">
                  <c:v>1</c:v>
                </c:pt>
                <c:pt idx="14">
                  <c:v>1</c:v>
                </c:pt>
                <c:pt idx="15">
                  <c:v>0</c:v>
                </c:pt>
                <c:pt idx="16">
                  <c:v>0</c:v>
                </c:pt>
                <c:pt idx="17">
                  <c:v>0</c:v>
                </c:pt>
                <c:pt idx="18">
                  <c:v>0</c:v>
                </c:pt>
                <c:pt idx="19">
                  <c:v>0</c:v>
                </c:pt>
                <c:pt idx="20">
                  <c:v>0</c:v>
                </c:pt>
                <c:pt idx="21">
                  <c:v>0</c:v>
                </c:pt>
                <c:pt idx="22">
                  <c:v>0</c:v>
                </c:pt>
                <c:pt idx="23">
                  <c:v>0</c:v>
                </c:pt>
                <c:pt idx="24">
                  <c:v>0</c:v>
                </c:pt>
                <c:pt idx="25">
                  <c:v>1</c:v>
                </c:pt>
                <c:pt idx="26">
                  <c:v>0</c:v>
                </c:pt>
                <c:pt idx="27">
                  <c:v>0</c:v>
                </c:pt>
                <c:pt idx="28">
                  <c:v>0</c:v>
                </c:pt>
                <c:pt idx="29">
                  <c:v>0</c:v>
                </c:pt>
                <c:pt idx="30">
                  <c:v>0</c:v>
                </c:pt>
                <c:pt idx="31">
                  <c:v>0</c:v>
                </c:pt>
                <c:pt idx="32">
                  <c:v>0</c:v>
                </c:pt>
                <c:pt idx="33">
                  <c:v>0</c:v>
                </c:pt>
                <c:pt idx="34">
                  <c:v>0</c:v>
                </c:pt>
                <c:pt idx="35">
                  <c:v>0</c:v>
                </c:pt>
                <c:pt idx="36">
                  <c:v>0</c:v>
                </c:pt>
              </c:numCache>
            </c:numRef>
          </c:val>
        </c:ser>
        <c:ser>
          <c:idx val="1"/>
          <c:order val="1"/>
          <c:tx>
            <c:strRef>
              <c:f>'Relative to average'!$C$1</c:f>
              <c:strCache>
                <c:ptCount val="1"/>
                <c:pt idx="0">
                  <c:v>Inadequately educated workforce</c:v>
                </c:pt>
              </c:strCache>
            </c:strRef>
          </c:tx>
          <c:spPr>
            <a:solidFill>
              <a:schemeClr val="accent1">
                <a:lumMod val="75000"/>
              </a:schemeClr>
            </a:solid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average'!$C$2:$C$38</c:f>
              <c:numCache>
                <c:formatCode>0</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c:v>
                </c:pt>
                <c:pt idx="20">
                  <c:v>0</c:v>
                </c:pt>
                <c:pt idx="21">
                  <c:v>0</c:v>
                </c:pt>
                <c:pt idx="22">
                  <c:v>0</c:v>
                </c:pt>
                <c:pt idx="23">
                  <c:v>1</c:v>
                </c:pt>
                <c:pt idx="24">
                  <c:v>0</c:v>
                </c:pt>
                <c:pt idx="25">
                  <c:v>1</c:v>
                </c:pt>
                <c:pt idx="26">
                  <c:v>0</c:v>
                </c:pt>
                <c:pt idx="27">
                  <c:v>1</c:v>
                </c:pt>
                <c:pt idx="28">
                  <c:v>0</c:v>
                </c:pt>
                <c:pt idx="29">
                  <c:v>0</c:v>
                </c:pt>
                <c:pt idx="30">
                  <c:v>0</c:v>
                </c:pt>
                <c:pt idx="31">
                  <c:v>0</c:v>
                </c:pt>
                <c:pt idx="32">
                  <c:v>1</c:v>
                </c:pt>
                <c:pt idx="33">
                  <c:v>0</c:v>
                </c:pt>
                <c:pt idx="34">
                  <c:v>0</c:v>
                </c:pt>
                <c:pt idx="35">
                  <c:v>0</c:v>
                </c:pt>
                <c:pt idx="36">
                  <c:v>0</c:v>
                </c:pt>
              </c:numCache>
            </c:numRef>
          </c:val>
        </c:ser>
        <c:ser>
          <c:idx val="2"/>
          <c:order val="2"/>
          <c:tx>
            <c:strRef>
              <c:f>'Relative to average'!$D$1</c:f>
              <c:strCache>
                <c:ptCount val="1"/>
                <c:pt idx="0">
                  <c:v>Electricity</c:v>
                </c:pt>
              </c:strCache>
            </c:strRef>
          </c:tx>
          <c:spPr>
            <a:solidFill>
              <a:schemeClr val="accent1">
                <a:lumMod val="60000"/>
                <a:lumOff val="40000"/>
              </a:schemeClr>
            </a:solid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average'!$D$2:$D$38</c:f>
              <c:numCache>
                <c:formatCode>0</c:formatCode>
                <c:ptCount val="37"/>
                <c:pt idx="0">
                  <c:v>0</c:v>
                </c:pt>
                <c:pt idx="1">
                  <c:v>1</c:v>
                </c:pt>
                <c:pt idx="2">
                  <c:v>0</c:v>
                </c:pt>
                <c:pt idx="3">
                  <c:v>0</c:v>
                </c:pt>
                <c:pt idx="4">
                  <c:v>0</c:v>
                </c:pt>
                <c:pt idx="5">
                  <c:v>0</c:v>
                </c:pt>
                <c:pt idx="6">
                  <c:v>1</c:v>
                </c:pt>
                <c:pt idx="7">
                  <c:v>0</c:v>
                </c:pt>
                <c:pt idx="8">
                  <c:v>0</c:v>
                </c:pt>
                <c:pt idx="9">
                  <c:v>0</c:v>
                </c:pt>
                <c:pt idx="10">
                  <c:v>0</c:v>
                </c:pt>
                <c:pt idx="11">
                  <c:v>1</c:v>
                </c:pt>
                <c:pt idx="12">
                  <c:v>1</c:v>
                </c:pt>
                <c:pt idx="13">
                  <c:v>0</c:v>
                </c:pt>
                <c:pt idx="14">
                  <c:v>0</c:v>
                </c:pt>
                <c:pt idx="15">
                  <c:v>0</c:v>
                </c:pt>
                <c:pt idx="16">
                  <c:v>0</c:v>
                </c:pt>
                <c:pt idx="17">
                  <c:v>0</c:v>
                </c:pt>
                <c:pt idx="18">
                  <c:v>0</c:v>
                </c:pt>
                <c:pt idx="19">
                  <c:v>1</c:v>
                </c:pt>
                <c:pt idx="20">
                  <c:v>0</c:v>
                </c:pt>
                <c:pt idx="21">
                  <c:v>0</c:v>
                </c:pt>
                <c:pt idx="22">
                  <c:v>0</c:v>
                </c:pt>
                <c:pt idx="23">
                  <c:v>1</c:v>
                </c:pt>
                <c:pt idx="24">
                  <c:v>0</c:v>
                </c:pt>
                <c:pt idx="25">
                  <c:v>1</c:v>
                </c:pt>
                <c:pt idx="26">
                  <c:v>0</c:v>
                </c:pt>
                <c:pt idx="27">
                  <c:v>0</c:v>
                </c:pt>
                <c:pt idx="28">
                  <c:v>0</c:v>
                </c:pt>
                <c:pt idx="29">
                  <c:v>1</c:v>
                </c:pt>
                <c:pt idx="30">
                  <c:v>0</c:v>
                </c:pt>
                <c:pt idx="31">
                  <c:v>0</c:v>
                </c:pt>
                <c:pt idx="32">
                  <c:v>0</c:v>
                </c:pt>
                <c:pt idx="33">
                  <c:v>0</c:v>
                </c:pt>
                <c:pt idx="34">
                  <c:v>0</c:v>
                </c:pt>
                <c:pt idx="35">
                  <c:v>1</c:v>
                </c:pt>
                <c:pt idx="36">
                  <c:v>0</c:v>
                </c:pt>
              </c:numCache>
            </c:numRef>
          </c:val>
        </c:ser>
        <c:ser>
          <c:idx val="3"/>
          <c:order val="3"/>
          <c:tx>
            <c:strRef>
              <c:f>'Relative to average'!$E$1</c:f>
              <c:strCache>
                <c:ptCount val="1"/>
                <c:pt idx="0">
                  <c:v>Transportation</c:v>
                </c:pt>
              </c:strCache>
            </c:strRef>
          </c:tx>
          <c:spPr>
            <a:solidFill>
              <a:schemeClr val="accent1">
                <a:lumMod val="40000"/>
                <a:lumOff val="60000"/>
              </a:schemeClr>
            </a:solid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average'!$E$2:$E$38</c:f>
              <c:numCache>
                <c:formatCode>0</c:formatCode>
                <c:ptCount val="37"/>
                <c:pt idx="0">
                  <c:v>0</c:v>
                </c:pt>
                <c:pt idx="1">
                  <c:v>1</c:v>
                </c:pt>
                <c:pt idx="2">
                  <c:v>0</c:v>
                </c:pt>
                <c:pt idx="3">
                  <c:v>0</c:v>
                </c:pt>
                <c:pt idx="4">
                  <c:v>0</c:v>
                </c:pt>
                <c:pt idx="5">
                  <c:v>0</c:v>
                </c:pt>
                <c:pt idx="6">
                  <c:v>1</c:v>
                </c:pt>
                <c:pt idx="7">
                  <c:v>0</c:v>
                </c:pt>
                <c:pt idx="8">
                  <c:v>1</c:v>
                </c:pt>
                <c:pt idx="9">
                  <c:v>0</c:v>
                </c:pt>
                <c:pt idx="10">
                  <c:v>0</c:v>
                </c:pt>
                <c:pt idx="11">
                  <c:v>1</c:v>
                </c:pt>
                <c:pt idx="12">
                  <c:v>0</c:v>
                </c:pt>
                <c:pt idx="13">
                  <c:v>0</c:v>
                </c:pt>
                <c:pt idx="14">
                  <c:v>1</c:v>
                </c:pt>
                <c:pt idx="15">
                  <c:v>0</c:v>
                </c:pt>
                <c:pt idx="16">
                  <c:v>0</c:v>
                </c:pt>
                <c:pt idx="17">
                  <c:v>0</c:v>
                </c:pt>
                <c:pt idx="18">
                  <c:v>1</c:v>
                </c:pt>
                <c:pt idx="19">
                  <c:v>1</c:v>
                </c:pt>
                <c:pt idx="20">
                  <c:v>0</c:v>
                </c:pt>
                <c:pt idx="21">
                  <c:v>0</c:v>
                </c:pt>
                <c:pt idx="22">
                  <c:v>0</c:v>
                </c:pt>
                <c:pt idx="23">
                  <c:v>1</c:v>
                </c:pt>
                <c:pt idx="24">
                  <c:v>0</c:v>
                </c:pt>
                <c:pt idx="25">
                  <c:v>1</c:v>
                </c:pt>
                <c:pt idx="26">
                  <c:v>0</c:v>
                </c:pt>
                <c:pt idx="27">
                  <c:v>1</c:v>
                </c:pt>
                <c:pt idx="28">
                  <c:v>0</c:v>
                </c:pt>
                <c:pt idx="29">
                  <c:v>0</c:v>
                </c:pt>
                <c:pt idx="30">
                  <c:v>1</c:v>
                </c:pt>
                <c:pt idx="31">
                  <c:v>0</c:v>
                </c:pt>
                <c:pt idx="32">
                  <c:v>0</c:v>
                </c:pt>
                <c:pt idx="33">
                  <c:v>0</c:v>
                </c:pt>
                <c:pt idx="34">
                  <c:v>0</c:v>
                </c:pt>
                <c:pt idx="35">
                  <c:v>1</c:v>
                </c:pt>
                <c:pt idx="36">
                  <c:v>0</c:v>
                </c:pt>
              </c:numCache>
            </c:numRef>
          </c:val>
        </c:ser>
        <c:ser>
          <c:idx val="4"/>
          <c:order val="4"/>
          <c:tx>
            <c:strRef>
              <c:f>'Relative to average'!$F$1</c:f>
              <c:strCache>
                <c:ptCount val="1"/>
                <c:pt idx="0">
                  <c:v>Tax rates</c:v>
                </c:pt>
              </c:strCache>
            </c:strRef>
          </c:tx>
          <c:spPr>
            <a:solidFill>
              <a:schemeClr val="accent1">
                <a:lumMod val="20000"/>
                <a:lumOff val="80000"/>
              </a:schemeClr>
            </a:solid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average'!$F$2:$F$38</c:f>
              <c:numCache>
                <c:formatCode>0</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0</c:v>
                </c:pt>
                <c:pt idx="16">
                  <c:v>0</c:v>
                </c:pt>
                <c:pt idx="17">
                  <c:v>0</c:v>
                </c:pt>
                <c:pt idx="18">
                  <c:v>0</c:v>
                </c:pt>
                <c:pt idx="19">
                  <c:v>0</c:v>
                </c:pt>
                <c:pt idx="20">
                  <c:v>0</c:v>
                </c:pt>
                <c:pt idx="21">
                  <c:v>0</c:v>
                </c:pt>
                <c:pt idx="22">
                  <c:v>0</c:v>
                </c:pt>
                <c:pt idx="23">
                  <c:v>0</c:v>
                </c:pt>
                <c:pt idx="24">
                  <c:v>0</c:v>
                </c:pt>
                <c:pt idx="25">
                  <c:v>0</c:v>
                </c:pt>
                <c:pt idx="26">
                  <c:v>0</c:v>
                </c:pt>
                <c:pt idx="27">
                  <c:v>1</c:v>
                </c:pt>
                <c:pt idx="28">
                  <c:v>0</c:v>
                </c:pt>
                <c:pt idx="29">
                  <c:v>0</c:v>
                </c:pt>
                <c:pt idx="30">
                  <c:v>0</c:v>
                </c:pt>
                <c:pt idx="31">
                  <c:v>0</c:v>
                </c:pt>
                <c:pt idx="32">
                  <c:v>0</c:v>
                </c:pt>
                <c:pt idx="33">
                  <c:v>0</c:v>
                </c:pt>
                <c:pt idx="34">
                  <c:v>0</c:v>
                </c:pt>
                <c:pt idx="35">
                  <c:v>0</c:v>
                </c:pt>
                <c:pt idx="36">
                  <c:v>0</c:v>
                </c:pt>
              </c:numCache>
            </c:numRef>
          </c:val>
        </c:ser>
        <c:ser>
          <c:idx val="5"/>
          <c:order val="5"/>
          <c:tx>
            <c:strRef>
              <c:f>'Relative to average'!$G$1</c:f>
              <c:strCache>
                <c:ptCount val="1"/>
                <c:pt idx="0">
                  <c:v>Tax administration</c:v>
                </c:pt>
              </c:strCache>
            </c:strRef>
          </c:tx>
          <c:spPr>
            <a:pattFill prst="dkUpDiag">
              <a:fgClr>
                <a:schemeClr val="accent1">
                  <a:lumMod val="5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average'!$G$2:$G$38</c:f>
              <c:numCache>
                <c:formatCode>0</c:formatCode>
                <c:ptCount val="37"/>
                <c:pt idx="0">
                  <c:v>0</c:v>
                </c:pt>
                <c:pt idx="1">
                  <c:v>1</c:v>
                </c:pt>
                <c:pt idx="2">
                  <c:v>0</c:v>
                </c:pt>
                <c:pt idx="3">
                  <c:v>0</c:v>
                </c:pt>
                <c:pt idx="4">
                  <c:v>0</c:v>
                </c:pt>
                <c:pt idx="5">
                  <c:v>0</c:v>
                </c:pt>
                <c:pt idx="6">
                  <c:v>0</c:v>
                </c:pt>
                <c:pt idx="7">
                  <c:v>0</c:v>
                </c:pt>
                <c:pt idx="8">
                  <c:v>1</c:v>
                </c:pt>
                <c:pt idx="9">
                  <c:v>0</c:v>
                </c:pt>
                <c:pt idx="10">
                  <c:v>0</c:v>
                </c:pt>
                <c:pt idx="11">
                  <c:v>0</c:v>
                </c:pt>
                <c:pt idx="12">
                  <c:v>1</c:v>
                </c:pt>
                <c:pt idx="13">
                  <c:v>0</c:v>
                </c:pt>
                <c:pt idx="14">
                  <c:v>0</c:v>
                </c:pt>
                <c:pt idx="15">
                  <c:v>0</c:v>
                </c:pt>
                <c:pt idx="16">
                  <c:v>0</c:v>
                </c:pt>
                <c:pt idx="17">
                  <c:v>0</c:v>
                </c:pt>
                <c:pt idx="18">
                  <c:v>0</c:v>
                </c:pt>
                <c:pt idx="19">
                  <c:v>0</c:v>
                </c:pt>
                <c:pt idx="20">
                  <c:v>0</c:v>
                </c:pt>
                <c:pt idx="21">
                  <c:v>0</c:v>
                </c:pt>
                <c:pt idx="22">
                  <c:v>0</c:v>
                </c:pt>
                <c:pt idx="23">
                  <c:v>0</c:v>
                </c:pt>
                <c:pt idx="24">
                  <c:v>0</c:v>
                </c:pt>
                <c:pt idx="25">
                  <c:v>1</c:v>
                </c:pt>
                <c:pt idx="26">
                  <c:v>0</c:v>
                </c:pt>
                <c:pt idx="27">
                  <c:v>1</c:v>
                </c:pt>
                <c:pt idx="28">
                  <c:v>0</c:v>
                </c:pt>
                <c:pt idx="29">
                  <c:v>0</c:v>
                </c:pt>
                <c:pt idx="30">
                  <c:v>0</c:v>
                </c:pt>
                <c:pt idx="31">
                  <c:v>0</c:v>
                </c:pt>
                <c:pt idx="32">
                  <c:v>1</c:v>
                </c:pt>
                <c:pt idx="33">
                  <c:v>0</c:v>
                </c:pt>
                <c:pt idx="34">
                  <c:v>0</c:v>
                </c:pt>
                <c:pt idx="35">
                  <c:v>0</c:v>
                </c:pt>
                <c:pt idx="36">
                  <c:v>0</c:v>
                </c:pt>
              </c:numCache>
            </c:numRef>
          </c:val>
        </c:ser>
        <c:ser>
          <c:idx val="6"/>
          <c:order val="6"/>
          <c:tx>
            <c:strRef>
              <c:f>'Relative to average'!$H$1</c:f>
              <c:strCache>
                <c:ptCount val="1"/>
                <c:pt idx="0">
                  <c:v>Licensing and permits</c:v>
                </c:pt>
              </c:strCache>
            </c:strRef>
          </c:tx>
          <c:spPr>
            <a:pattFill prst="dkDnDiag">
              <a:fgClr>
                <a:schemeClr val="accent1">
                  <a:lumMod val="75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average'!$H$2:$H$38</c:f>
              <c:numCache>
                <c:formatCode>0</c:formatCode>
                <c:ptCount val="37"/>
                <c:pt idx="0">
                  <c:v>0</c:v>
                </c:pt>
                <c:pt idx="1">
                  <c:v>0</c:v>
                </c:pt>
                <c:pt idx="2">
                  <c:v>0</c:v>
                </c:pt>
                <c:pt idx="3">
                  <c:v>0</c:v>
                </c:pt>
                <c:pt idx="4">
                  <c:v>0</c:v>
                </c:pt>
                <c:pt idx="5">
                  <c:v>0</c:v>
                </c:pt>
                <c:pt idx="6">
                  <c:v>1</c:v>
                </c:pt>
                <c:pt idx="7">
                  <c:v>0</c:v>
                </c:pt>
                <c:pt idx="8">
                  <c:v>0</c:v>
                </c:pt>
                <c:pt idx="9">
                  <c:v>0</c:v>
                </c:pt>
                <c:pt idx="10">
                  <c:v>0</c:v>
                </c:pt>
                <c:pt idx="11">
                  <c:v>1</c:v>
                </c:pt>
                <c:pt idx="12">
                  <c:v>0</c:v>
                </c:pt>
                <c:pt idx="13">
                  <c:v>0</c:v>
                </c:pt>
                <c:pt idx="14">
                  <c:v>0</c:v>
                </c:pt>
                <c:pt idx="15">
                  <c:v>0</c:v>
                </c:pt>
                <c:pt idx="16">
                  <c:v>0</c:v>
                </c:pt>
                <c:pt idx="17">
                  <c:v>0</c:v>
                </c:pt>
                <c:pt idx="18">
                  <c:v>0</c:v>
                </c:pt>
                <c:pt idx="19">
                  <c:v>0</c:v>
                </c:pt>
                <c:pt idx="20">
                  <c:v>1</c:v>
                </c:pt>
                <c:pt idx="21">
                  <c:v>0</c:v>
                </c:pt>
                <c:pt idx="22">
                  <c:v>0</c:v>
                </c:pt>
                <c:pt idx="23">
                  <c:v>1</c:v>
                </c:pt>
                <c:pt idx="24">
                  <c:v>0</c:v>
                </c:pt>
                <c:pt idx="25">
                  <c:v>1</c:v>
                </c:pt>
                <c:pt idx="26">
                  <c:v>1</c:v>
                </c:pt>
                <c:pt idx="27">
                  <c:v>1</c:v>
                </c:pt>
                <c:pt idx="28">
                  <c:v>0</c:v>
                </c:pt>
                <c:pt idx="29">
                  <c:v>0</c:v>
                </c:pt>
                <c:pt idx="30">
                  <c:v>0</c:v>
                </c:pt>
                <c:pt idx="31">
                  <c:v>0</c:v>
                </c:pt>
                <c:pt idx="32">
                  <c:v>1</c:v>
                </c:pt>
                <c:pt idx="33">
                  <c:v>0</c:v>
                </c:pt>
                <c:pt idx="34">
                  <c:v>0</c:v>
                </c:pt>
                <c:pt idx="35">
                  <c:v>0</c:v>
                </c:pt>
                <c:pt idx="36">
                  <c:v>0</c:v>
                </c:pt>
              </c:numCache>
            </c:numRef>
          </c:val>
        </c:ser>
        <c:ser>
          <c:idx val="7"/>
          <c:order val="7"/>
          <c:tx>
            <c:strRef>
              <c:f>'Relative to average'!$I$1</c:f>
              <c:strCache>
                <c:ptCount val="1"/>
                <c:pt idx="0">
                  <c:v>Customs and trade regulations</c:v>
                </c:pt>
              </c:strCache>
            </c:strRef>
          </c:tx>
          <c:spPr>
            <a:pattFill prst="dkUpDiag">
              <a:fgClr>
                <a:schemeClr val="accent1">
                  <a:lumMod val="60000"/>
                  <a:lumOff val="4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average'!$I$2:$I$38</c:f>
              <c:numCache>
                <c:formatCode>0</c:formatCode>
                <c:ptCount val="37"/>
                <c:pt idx="0">
                  <c:v>0</c:v>
                </c:pt>
                <c:pt idx="1">
                  <c:v>0</c:v>
                </c:pt>
                <c:pt idx="2">
                  <c:v>0</c:v>
                </c:pt>
                <c:pt idx="3">
                  <c:v>1</c:v>
                </c:pt>
                <c:pt idx="4">
                  <c:v>0</c:v>
                </c:pt>
                <c:pt idx="5">
                  <c:v>0</c:v>
                </c:pt>
                <c:pt idx="6">
                  <c:v>0</c:v>
                </c:pt>
                <c:pt idx="7">
                  <c:v>0</c:v>
                </c:pt>
                <c:pt idx="8">
                  <c:v>0</c:v>
                </c:pt>
                <c:pt idx="9">
                  <c:v>0</c:v>
                </c:pt>
                <c:pt idx="10">
                  <c:v>0</c:v>
                </c:pt>
                <c:pt idx="11">
                  <c:v>0</c:v>
                </c:pt>
                <c:pt idx="12">
                  <c:v>0</c:v>
                </c:pt>
                <c:pt idx="13">
                  <c:v>1</c:v>
                </c:pt>
                <c:pt idx="14">
                  <c:v>1</c:v>
                </c:pt>
                <c:pt idx="15">
                  <c:v>0</c:v>
                </c:pt>
                <c:pt idx="16">
                  <c:v>0</c:v>
                </c:pt>
                <c:pt idx="17">
                  <c:v>0</c:v>
                </c:pt>
                <c:pt idx="18">
                  <c:v>0</c:v>
                </c:pt>
                <c:pt idx="19">
                  <c:v>0</c:v>
                </c:pt>
                <c:pt idx="20">
                  <c:v>1</c:v>
                </c:pt>
                <c:pt idx="21">
                  <c:v>0</c:v>
                </c:pt>
                <c:pt idx="22">
                  <c:v>0</c:v>
                </c:pt>
                <c:pt idx="23">
                  <c:v>0</c:v>
                </c:pt>
                <c:pt idx="24">
                  <c:v>0</c:v>
                </c:pt>
                <c:pt idx="25">
                  <c:v>1</c:v>
                </c:pt>
                <c:pt idx="26">
                  <c:v>0</c:v>
                </c:pt>
                <c:pt idx="27">
                  <c:v>1</c:v>
                </c:pt>
                <c:pt idx="28">
                  <c:v>0</c:v>
                </c:pt>
                <c:pt idx="29">
                  <c:v>0</c:v>
                </c:pt>
                <c:pt idx="30">
                  <c:v>0</c:v>
                </c:pt>
                <c:pt idx="31">
                  <c:v>0</c:v>
                </c:pt>
                <c:pt idx="32">
                  <c:v>0</c:v>
                </c:pt>
                <c:pt idx="33">
                  <c:v>0</c:v>
                </c:pt>
                <c:pt idx="34">
                  <c:v>0</c:v>
                </c:pt>
                <c:pt idx="35">
                  <c:v>0</c:v>
                </c:pt>
                <c:pt idx="36">
                  <c:v>0</c:v>
                </c:pt>
              </c:numCache>
            </c:numRef>
          </c:val>
        </c:ser>
        <c:ser>
          <c:idx val="8"/>
          <c:order val="8"/>
          <c:tx>
            <c:strRef>
              <c:f>'Relative to average'!$J$1</c:f>
              <c:strCache>
                <c:ptCount val="1"/>
                <c:pt idx="0">
                  <c:v>Labour regulations</c:v>
                </c:pt>
              </c:strCache>
            </c:strRef>
          </c:tx>
          <c:spPr>
            <a:pattFill prst="dkDnDiag">
              <a:fgClr>
                <a:schemeClr val="accent1">
                  <a:lumMod val="40000"/>
                  <a:lumOff val="6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average'!$J$2:$J$38</c:f>
              <c:numCache>
                <c:formatCode>0</c:formatCode>
                <c:ptCount val="37"/>
                <c:pt idx="0">
                  <c:v>0</c:v>
                </c:pt>
                <c:pt idx="1">
                  <c:v>0</c:v>
                </c:pt>
                <c:pt idx="2">
                  <c:v>0</c:v>
                </c:pt>
                <c:pt idx="3">
                  <c:v>0</c:v>
                </c:pt>
                <c:pt idx="4">
                  <c:v>1</c:v>
                </c:pt>
                <c:pt idx="5">
                  <c:v>0</c:v>
                </c:pt>
                <c:pt idx="6">
                  <c:v>0</c:v>
                </c:pt>
                <c:pt idx="7">
                  <c:v>1</c:v>
                </c:pt>
                <c:pt idx="8">
                  <c:v>1</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1</c:v>
                </c:pt>
                <c:pt idx="26">
                  <c:v>0</c:v>
                </c:pt>
                <c:pt idx="27">
                  <c:v>0</c:v>
                </c:pt>
                <c:pt idx="28">
                  <c:v>0</c:v>
                </c:pt>
                <c:pt idx="29">
                  <c:v>0</c:v>
                </c:pt>
                <c:pt idx="30">
                  <c:v>0</c:v>
                </c:pt>
                <c:pt idx="31">
                  <c:v>0</c:v>
                </c:pt>
                <c:pt idx="32">
                  <c:v>0</c:v>
                </c:pt>
                <c:pt idx="33">
                  <c:v>0</c:v>
                </c:pt>
                <c:pt idx="34">
                  <c:v>0</c:v>
                </c:pt>
                <c:pt idx="35">
                  <c:v>1</c:v>
                </c:pt>
                <c:pt idx="36">
                  <c:v>0</c:v>
                </c:pt>
              </c:numCache>
            </c:numRef>
          </c:val>
        </c:ser>
        <c:ser>
          <c:idx val="9"/>
          <c:order val="9"/>
          <c:tx>
            <c:strRef>
              <c:f>'Relative to average'!$K$1</c:f>
              <c:strCache>
                <c:ptCount val="1"/>
                <c:pt idx="0">
                  <c:v>Corruption</c:v>
                </c:pt>
              </c:strCache>
            </c:strRef>
          </c:tx>
          <c:spPr>
            <a:pattFill prst="dkUpDiag">
              <a:fgClr>
                <a:schemeClr val="accent1">
                  <a:lumMod val="20000"/>
                  <a:lumOff val="8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average'!$K$2:$K$38</c:f>
              <c:numCache>
                <c:formatCode>0</c:formatCode>
                <c:ptCount val="37"/>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0</c:v>
                </c:pt>
                <c:pt idx="17">
                  <c:v>0</c:v>
                </c:pt>
                <c:pt idx="18">
                  <c:v>0</c:v>
                </c:pt>
                <c:pt idx="19">
                  <c:v>0</c:v>
                </c:pt>
                <c:pt idx="20">
                  <c:v>0</c:v>
                </c:pt>
                <c:pt idx="21">
                  <c:v>0</c:v>
                </c:pt>
                <c:pt idx="22">
                  <c:v>0</c:v>
                </c:pt>
                <c:pt idx="23">
                  <c:v>0</c:v>
                </c:pt>
                <c:pt idx="24">
                  <c:v>0</c:v>
                </c:pt>
                <c:pt idx="25">
                  <c:v>1</c:v>
                </c:pt>
                <c:pt idx="26">
                  <c:v>1</c:v>
                </c:pt>
                <c:pt idx="27">
                  <c:v>0</c:v>
                </c:pt>
                <c:pt idx="28">
                  <c:v>0</c:v>
                </c:pt>
                <c:pt idx="29">
                  <c:v>0</c:v>
                </c:pt>
                <c:pt idx="30">
                  <c:v>0</c:v>
                </c:pt>
                <c:pt idx="31">
                  <c:v>0</c:v>
                </c:pt>
                <c:pt idx="32">
                  <c:v>0</c:v>
                </c:pt>
                <c:pt idx="33">
                  <c:v>0</c:v>
                </c:pt>
                <c:pt idx="34">
                  <c:v>0</c:v>
                </c:pt>
                <c:pt idx="35">
                  <c:v>0</c:v>
                </c:pt>
                <c:pt idx="36">
                  <c:v>0</c:v>
                </c:pt>
              </c:numCache>
            </c:numRef>
          </c:val>
        </c:ser>
        <c:ser>
          <c:idx val="10"/>
          <c:order val="10"/>
          <c:tx>
            <c:strRef>
              <c:f>'Relative to average'!$L$1</c:f>
              <c:strCache>
                <c:ptCount val="1"/>
                <c:pt idx="0">
                  <c:v>Courts system</c:v>
                </c:pt>
              </c:strCache>
            </c:strRef>
          </c:tx>
          <c:spPr>
            <a:pattFill prst="pct70">
              <a:fgClr>
                <a:schemeClr val="accent1">
                  <a:lumMod val="5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average'!$L$2:$L$38</c:f>
              <c:numCache>
                <c:formatCode>0</c:formatCode>
                <c:ptCount val="37"/>
                <c:pt idx="0">
                  <c:v>0</c:v>
                </c:pt>
                <c:pt idx="1">
                  <c:v>0</c:v>
                </c:pt>
                <c:pt idx="2">
                  <c:v>0</c:v>
                </c:pt>
                <c:pt idx="3">
                  <c:v>0</c:v>
                </c:pt>
                <c:pt idx="4">
                  <c:v>1</c:v>
                </c:pt>
                <c:pt idx="5">
                  <c:v>1</c:v>
                </c:pt>
                <c:pt idx="6">
                  <c:v>0</c:v>
                </c:pt>
                <c:pt idx="7">
                  <c:v>0</c:v>
                </c:pt>
                <c:pt idx="8">
                  <c:v>0</c:v>
                </c:pt>
                <c:pt idx="9">
                  <c:v>0</c:v>
                </c:pt>
                <c:pt idx="10">
                  <c:v>0</c:v>
                </c:pt>
                <c:pt idx="11">
                  <c:v>1</c:v>
                </c:pt>
                <c:pt idx="12">
                  <c:v>1</c:v>
                </c:pt>
                <c:pt idx="13">
                  <c:v>0</c:v>
                </c:pt>
                <c:pt idx="14">
                  <c:v>0</c:v>
                </c:pt>
                <c:pt idx="15">
                  <c:v>0</c:v>
                </c:pt>
                <c:pt idx="16">
                  <c:v>0</c:v>
                </c:pt>
                <c:pt idx="17">
                  <c:v>0</c:v>
                </c:pt>
                <c:pt idx="18">
                  <c:v>0</c:v>
                </c:pt>
                <c:pt idx="19">
                  <c:v>0</c:v>
                </c:pt>
                <c:pt idx="20">
                  <c:v>1</c:v>
                </c:pt>
                <c:pt idx="21">
                  <c:v>0</c:v>
                </c:pt>
                <c:pt idx="22">
                  <c:v>0</c:v>
                </c:pt>
                <c:pt idx="23">
                  <c:v>0</c:v>
                </c:pt>
                <c:pt idx="24">
                  <c:v>0</c:v>
                </c:pt>
                <c:pt idx="25">
                  <c:v>1</c:v>
                </c:pt>
                <c:pt idx="26">
                  <c:v>0</c:v>
                </c:pt>
                <c:pt idx="27">
                  <c:v>1</c:v>
                </c:pt>
                <c:pt idx="28">
                  <c:v>0</c:v>
                </c:pt>
                <c:pt idx="29">
                  <c:v>0</c:v>
                </c:pt>
                <c:pt idx="30">
                  <c:v>0</c:v>
                </c:pt>
                <c:pt idx="31">
                  <c:v>0</c:v>
                </c:pt>
                <c:pt idx="32">
                  <c:v>0</c:v>
                </c:pt>
                <c:pt idx="33">
                  <c:v>0</c:v>
                </c:pt>
                <c:pt idx="34">
                  <c:v>0</c:v>
                </c:pt>
                <c:pt idx="35">
                  <c:v>1</c:v>
                </c:pt>
                <c:pt idx="36">
                  <c:v>1</c:v>
                </c:pt>
              </c:numCache>
            </c:numRef>
          </c:val>
        </c:ser>
        <c:ser>
          <c:idx val="11"/>
          <c:order val="11"/>
          <c:tx>
            <c:strRef>
              <c:f>'Relative to average'!$M$1</c:f>
              <c:strCache>
                <c:ptCount val="1"/>
                <c:pt idx="0">
                  <c:v>Crime, theft and disorder</c:v>
                </c:pt>
              </c:strCache>
            </c:strRef>
          </c:tx>
          <c:spPr>
            <a:pattFill prst="pct70">
              <a:fgClr>
                <a:schemeClr val="accent1">
                  <a:lumMod val="60000"/>
                  <a:lumOff val="4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average'!$M$2:$M$38</c:f>
              <c:numCache>
                <c:formatCode>0</c:formatCode>
                <c:ptCount val="37"/>
                <c:pt idx="0">
                  <c:v>0</c:v>
                </c:pt>
                <c:pt idx="1">
                  <c:v>1</c:v>
                </c:pt>
                <c:pt idx="2">
                  <c:v>0</c:v>
                </c:pt>
                <c:pt idx="3">
                  <c:v>0</c:v>
                </c:pt>
                <c:pt idx="4">
                  <c:v>0</c:v>
                </c:pt>
                <c:pt idx="5">
                  <c:v>0</c:v>
                </c:pt>
                <c:pt idx="6">
                  <c:v>0</c:v>
                </c:pt>
                <c:pt idx="7">
                  <c:v>0</c:v>
                </c:pt>
                <c:pt idx="8">
                  <c:v>0</c:v>
                </c:pt>
                <c:pt idx="9">
                  <c:v>0</c:v>
                </c:pt>
                <c:pt idx="10">
                  <c:v>0</c:v>
                </c:pt>
                <c:pt idx="11">
                  <c:v>1</c:v>
                </c:pt>
                <c:pt idx="12">
                  <c:v>1</c:v>
                </c:pt>
                <c:pt idx="13">
                  <c:v>0</c:v>
                </c:pt>
                <c:pt idx="14">
                  <c:v>0</c:v>
                </c:pt>
                <c:pt idx="15">
                  <c:v>0</c:v>
                </c:pt>
                <c:pt idx="16">
                  <c:v>0</c:v>
                </c:pt>
                <c:pt idx="17">
                  <c:v>0</c:v>
                </c:pt>
                <c:pt idx="18">
                  <c:v>0</c:v>
                </c:pt>
                <c:pt idx="19">
                  <c:v>1</c:v>
                </c:pt>
                <c:pt idx="20">
                  <c:v>0</c:v>
                </c:pt>
                <c:pt idx="21">
                  <c:v>0</c:v>
                </c:pt>
                <c:pt idx="22">
                  <c:v>0</c:v>
                </c:pt>
                <c:pt idx="23">
                  <c:v>1</c:v>
                </c:pt>
                <c:pt idx="24">
                  <c:v>0</c:v>
                </c:pt>
                <c:pt idx="25">
                  <c:v>1</c:v>
                </c:pt>
                <c:pt idx="26">
                  <c:v>0</c:v>
                </c:pt>
                <c:pt idx="27">
                  <c:v>1</c:v>
                </c:pt>
                <c:pt idx="28">
                  <c:v>0</c:v>
                </c:pt>
                <c:pt idx="29">
                  <c:v>0</c:v>
                </c:pt>
                <c:pt idx="30">
                  <c:v>0</c:v>
                </c:pt>
                <c:pt idx="31">
                  <c:v>0</c:v>
                </c:pt>
                <c:pt idx="32">
                  <c:v>1</c:v>
                </c:pt>
                <c:pt idx="33">
                  <c:v>0</c:v>
                </c:pt>
                <c:pt idx="34">
                  <c:v>0</c:v>
                </c:pt>
                <c:pt idx="35">
                  <c:v>0</c:v>
                </c:pt>
                <c:pt idx="36">
                  <c:v>0</c:v>
                </c:pt>
              </c:numCache>
            </c:numRef>
          </c:val>
        </c:ser>
        <c:ser>
          <c:idx val="12"/>
          <c:order val="12"/>
          <c:tx>
            <c:strRef>
              <c:f>'Relative to average'!$N$1</c:f>
              <c:strCache>
                <c:ptCount val="1"/>
                <c:pt idx="0">
                  <c:v>Practices of competitors in the informal sector</c:v>
                </c:pt>
              </c:strCache>
            </c:strRef>
          </c:tx>
          <c:spPr>
            <a:pattFill prst="pct70">
              <a:fgClr>
                <a:schemeClr val="accent1">
                  <a:lumMod val="20000"/>
                  <a:lumOff val="80000"/>
                </a:schemeClr>
              </a:fgClr>
              <a:bgClr>
                <a:schemeClr val="bg1"/>
              </a:bgClr>
            </a:pattFill>
          </c:spPr>
          <c:cat>
            <c:strRef>
              <c:f>'Relative to average'!$A$2:$A$38</c:f>
              <c:strCache>
                <c:ptCount val="37"/>
                <c:pt idx="0">
                  <c:v>Belgorod Region</c:v>
                </c:pt>
                <c:pt idx="1">
                  <c:v>Chelyabinsk Region</c:v>
                </c:pt>
                <c:pt idx="2">
                  <c:v>Irkutsk Region</c:v>
                </c:pt>
                <c:pt idx="3">
                  <c:v>Kaliningrad Region</c:v>
                </c:pt>
                <c:pt idx="4">
                  <c:v>Kaluga Region</c:v>
                </c:pt>
                <c:pt idx="5">
                  <c:v>Kemerovo Region</c:v>
                </c:pt>
                <c:pt idx="6">
                  <c:v>Khabarovsk Territory</c:v>
                </c:pt>
                <c:pt idx="7">
                  <c:v>Kirov Region</c:v>
                </c:pt>
                <c:pt idx="8">
                  <c:v>Krasnodar Territory</c:v>
                </c:pt>
                <c:pt idx="9">
                  <c:v>Krasnoyarsk Territory</c:v>
                </c:pt>
                <c:pt idx="10">
                  <c:v>Kursk Region</c:v>
                </c:pt>
                <c:pt idx="11">
                  <c:v>Leningrad Region</c:v>
                </c:pt>
                <c:pt idx="12">
                  <c:v>Lipetsk Region</c:v>
                </c:pt>
                <c:pt idx="13">
                  <c:v>Moscow City</c:v>
                </c:pt>
                <c:pt idx="14">
                  <c:v>Moscow Region</c:v>
                </c:pt>
                <c:pt idx="15">
                  <c:v>Murmansk Region</c:v>
                </c:pt>
                <c:pt idx="16">
                  <c:v>Nizhni Novgorod Region</c:v>
                </c:pt>
                <c:pt idx="17">
                  <c:v>Novosibirsk Region</c:v>
                </c:pt>
                <c:pt idx="18">
                  <c:v>Omsk Region</c:v>
                </c:pt>
                <c:pt idx="19">
                  <c:v>Perm Territory</c:v>
                </c:pt>
                <c:pt idx="20">
                  <c:v>Primorsky Territory</c:v>
                </c:pt>
                <c:pt idx="21">
                  <c:v>Republic Of Bashkortostan</c:v>
                </c:pt>
                <c:pt idx="22">
                  <c:v>Republic Of Mordovia</c:v>
                </c:pt>
                <c:pt idx="23">
                  <c:v>Republic Of Sakha (Yakutia)</c:v>
                </c:pt>
                <c:pt idx="24">
                  <c:v>Republic Of Tatarstan</c:v>
                </c:pt>
                <c:pt idx="25">
                  <c:v>Rostov Region</c:v>
                </c:pt>
                <c:pt idx="26">
                  <c:v>Saint Petersburg</c:v>
                </c:pt>
                <c:pt idx="27">
                  <c:v>Samara Region</c:v>
                </c:pt>
                <c:pt idx="28">
                  <c:v>Smolensk Region</c:v>
                </c:pt>
                <c:pt idx="29">
                  <c:v>Stavropol Territory</c:v>
                </c:pt>
                <c:pt idx="30">
                  <c:v>Sverdlovsk Region</c:v>
                </c:pt>
                <c:pt idx="31">
                  <c:v>Tomsk Region</c:v>
                </c:pt>
                <c:pt idx="32">
                  <c:v>Tver Region</c:v>
                </c:pt>
                <c:pt idx="33">
                  <c:v>Ulyanovsk Region</c:v>
                </c:pt>
                <c:pt idx="34">
                  <c:v>Volgograd Region</c:v>
                </c:pt>
                <c:pt idx="35">
                  <c:v>Voronezh Region</c:v>
                </c:pt>
                <c:pt idx="36">
                  <c:v>Yaroslavl Region</c:v>
                </c:pt>
              </c:strCache>
            </c:strRef>
          </c:cat>
          <c:val>
            <c:numRef>
              <c:f>'Relative to average'!$N$2:$N$38</c:f>
              <c:numCache>
                <c:formatCode>0</c:formatCode>
                <c:ptCount val="37"/>
                <c:pt idx="0">
                  <c:v>1</c:v>
                </c:pt>
                <c:pt idx="1">
                  <c:v>1</c:v>
                </c:pt>
                <c:pt idx="2">
                  <c:v>0</c:v>
                </c:pt>
                <c:pt idx="3">
                  <c:v>0</c:v>
                </c:pt>
                <c:pt idx="4">
                  <c:v>0</c:v>
                </c:pt>
                <c:pt idx="5">
                  <c:v>0</c:v>
                </c:pt>
                <c:pt idx="6">
                  <c:v>0</c:v>
                </c:pt>
                <c:pt idx="7">
                  <c:v>0</c:v>
                </c:pt>
                <c:pt idx="8">
                  <c:v>1</c:v>
                </c:pt>
                <c:pt idx="9">
                  <c:v>0</c:v>
                </c:pt>
                <c:pt idx="10">
                  <c:v>0</c:v>
                </c:pt>
                <c:pt idx="11">
                  <c:v>0</c:v>
                </c:pt>
                <c:pt idx="12">
                  <c:v>0</c:v>
                </c:pt>
                <c:pt idx="13">
                  <c:v>0</c:v>
                </c:pt>
                <c:pt idx="14">
                  <c:v>0</c:v>
                </c:pt>
                <c:pt idx="15">
                  <c:v>1</c:v>
                </c:pt>
                <c:pt idx="16">
                  <c:v>1</c:v>
                </c:pt>
                <c:pt idx="17">
                  <c:v>0</c:v>
                </c:pt>
                <c:pt idx="18">
                  <c:v>0</c:v>
                </c:pt>
                <c:pt idx="19">
                  <c:v>0</c:v>
                </c:pt>
                <c:pt idx="20">
                  <c:v>1</c:v>
                </c:pt>
                <c:pt idx="21">
                  <c:v>0</c:v>
                </c:pt>
                <c:pt idx="22">
                  <c:v>0</c:v>
                </c:pt>
                <c:pt idx="23">
                  <c:v>0</c:v>
                </c:pt>
                <c:pt idx="24">
                  <c:v>0</c:v>
                </c:pt>
                <c:pt idx="25">
                  <c:v>0</c:v>
                </c:pt>
                <c:pt idx="26">
                  <c:v>1</c:v>
                </c:pt>
                <c:pt idx="27">
                  <c:v>1</c:v>
                </c:pt>
                <c:pt idx="28">
                  <c:v>0</c:v>
                </c:pt>
                <c:pt idx="29">
                  <c:v>0</c:v>
                </c:pt>
                <c:pt idx="30">
                  <c:v>0</c:v>
                </c:pt>
                <c:pt idx="31">
                  <c:v>0</c:v>
                </c:pt>
                <c:pt idx="32">
                  <c:v>1</c:v>
                </c:pt>
                <c:pt idx="33">
                  <c:v>1</c:v>
                </c:pt>
                <c:pt idx="34">
                  <c:v>0</c:v>
                </c:pt>
                <c:pt idx="35">
                  <c:v>0</c:v>
                </c:pt>
                <c:pt idx="36">
                  <c:v>1</c:v>
                </c:pt>
              </c:numCache>
            </c:numRef>
          </c:val>
        </c:ser>
        <c:overlap val="100"/>
        <c:axId val="87159552"/>
        <c:axId val="87161088"/>
      </c:barChart>
      <c:catAx>
        <c:axId val="87159552"/>
        <c:scaling>
          <c:orientation val="maxMin"/>
        </c:scaling>
        <c:axPos val="l"/>
        <c:tickLblPos val="nextTo"/>
        <c:crossAx val="87161088"/>
        <c:crosses val="autoZero"/>
        <c:auto val="1"/>
        <c:lblAlgn val="ctr"/>
        <c:lblOffset val="100"/>
        <c:tickLblSkip val="1"/>
      </c:catAx>
      <c:valAx>
        <c:axId val="87161088"/>
        <c:scaling>
          <c:orientation val="minMax"/>
        </c:scaling>
        <c:axPos val="b"/>
        <c:majorGridlines/>
        <c:title>
          <c:tx>
            <c:rich>
              <a:bodyPr/>
              <a:lstStyle/>
              <a:p>
                <a:pPr>
                  <a:defRPr/>
                </a:pPr>
                <a:r>
                  <a:rPr lang="en-US"/>
                  <a:t>Number of factors on which the region lags</a:t>
                </a:r>
              </a:p>
            </c:rich>
          </c:tx>
        </c:title>
        <c:numFmt formatCode="0" sourceLinked="1"/>
        <c:tickLblPos val="nextTo"/>
        <c:crossAx val="87159552"/>
        <c:crosses val="max"/>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D656380D-3F71-4321-8290-8BE02A85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AE2007</Template>
  <TotalTime>1</TotalTime>
  <Pages>43</Pages>
  <Words>15337</Words>
  <Characters>87425</Characters>
  <Application>Microsoft Office Word</Application>
  <DocSecurity>0</DocSecurity>
  <Lines>728</Lines>
  <Paragraphs>205</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O.E.C.D.</Company>
  <LinksUpToDate>false</LinksUpToDate>
  <CharactersWithSpaces>102557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POTTER Jonathan</dc:creator>
  <cp:lastModifiedBy>smirnov_s</cp:lastModifiedBy>
  <cp:revision>2</cp:revision>
  <dcterms:created xsi:type="dcterms:W3CDTF">2015-03-13T11:13:00Z</dcterms:created>
  <dcterms:modified xsi:type="dcterms:W3CDTF">2015-03-13T11:13:00Z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ies>
</file>